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4D874">
      <w:pPr>
        <w:jc w:val="center"/>
        <w:rPr>
          <w:rFonts w:hint="eastAsia" w:ascii="宋体" w:hAnsi="宋体"/>
          <w:b/>
          <w:sz w:val="44"/>
          <w:szCs w:val="44"/>
        </w:rPr>
      </w:pPr>
    </w:p>
    <w:p w14:paraId="16D44614">
      <w:pPr>
        <w:jc w:val="center"/>
        <w:rPr>
          <w:rFonts w:hint="eastAsia" w:ascii="宋体" w:hAnsi="宋体"/>
          <w:b/>
          <w:sz w:val="44"/>
          <w:szCs w:val="44"/>
        </w:rPr>
      </w:pPr>
    </w:p>
    <w:p w14:paraId="28773E84">
      <w:pPr>
        <w:jc w:val="center"/>
        <w:rPr>
          <w:rFonts w:hint="eastAsia" w:ascii="宋体" w:hAnsi="宋体"/>
          <w:b/>
          <w:sz w:val="44"/>
          <w:szCs w:val="44"/>
        </w:rPr>
      </w:pPr>
    </w:p>
    <w:p w14:paraId="3995B5B4">
      <w:pPr>
        <w:jc w:val="center"/>
        <w:rPr>
          <w:rFonts w:hint="eastAsia" w:ascii="宋体" w:hAnsi="宋体"/>
          <w:b/>
          <w:sz w:val="44"/>
          <w:szCs w:val="44"/>
        </w:rPr>
      </w:pPr>
    </w:p>
    <w:p w14:paraId="4E6F8CD0">
      <w:pPr>
        <w:jc w:val="center"/>
        <w:rPr>
          <w:rFonts w:hint="eastAsia" w:ascii="宋体" w:hAnsi="宋体"/>
          <w:b/>
          <w:sz w:val="44"/>
          <w:szCs w:val="44"/>
        </w:rPr>
      </w:pPr>
      <w:r>
        <w:rPr>
          <w:rFonts w:hint="eastAsia" w:ascii="宋体" w:hAnsi="宋体"/>
          <w:b/>
          <w:sz w:val="44"/>
          <w:szCs w:val="44"/>
        </w:rPr>
        <w:t>湖南省教育</w:t>
      </w:r>
      <w:r>
        <w:rPr>
          <w:rFonts w:hint="eastAsia" w:ascii="宋体" w:hAnsi="宋体"/>
          <w:b/>
          <w:sz w:val="44"/>
          <w:szCs w:val="44"/>
          <w:lang w:eastAsia="zh-CN"/>
        </w:rPr>
        <w:t>科学“十</w:t>
      </w:r>
      <w:r>
        <w:rPr>
          <w:rFonts w:hint="eastAsia" w:ascii="宋体" w:hAnsi="宋体"/>
          <w:b/>
          <w:sz w:val="44"/>
          <w:szCs w:val="44"/>
          <w:lang w:val="en-US" w:eastAsia="zh-CN"/>
        </w:rPr>
        <w:t>五</w:t>
      </w:r>
      <w:r>
        <w:rPr>
          <w:rFonts w:hint="eastAsia" w:ascii="宋体" w:hAnsi="宋体"/>
          <w:b/>
          <w:sz w:val="44"/>
          <w:szCs w:val="44"/>
          <w:lang w:eastAsia="zh-CN"/>
        </w:rPr>
        <w:t>五”规划</w:t>
      </w:r>
      <w:r>
        <w:rPr>
          <w:rFonts w:hint="eastAsia" w:ascii="宋体" w:hAnsi="宋体"/>
          <w:b/>
          <w:sz w:val="44"/>
          <w:szCs w:val="44"/>
          <w:lang w:val="en-US" w:eastAsia="zh-CN"/>
        </w:rPr>
        <w:t>2026年度</w:t>
      </w:r>
      <w:r>
        <w:rPr>
          <w:rFonts w:hint="eastAsia" w:ascii="宋体" w:hAnsi="宋体"/>
          <w:b/>
          <w:sz w:val="44"/>
          <w:szCs w:val="44"/>
          <w:lang w:eastAsia="zh-CN"/>
        </w:rPr>
        <w:t>课题校</w:t>
      </w:r>
      <w:r>
        <w:rPr>
          <w:rFonts w:hint="eastAsia" w:ascii="宋体" w:hAnsi="宋体"/>
          <w:b/>
          <w:sz w:val="44"/>
          <w:szCs w:val="44"/>
        </w:rPr>
        <w:t>内评审结果公示</w:t>
      </w:r>
    </w:p>
    <w:p w14:paraId="0A8E515D">
      <w:pPr>
        <w:rPr>
          <w:rFonts w:hint="eastAsia" w:ascii="宋体" w:hAnsi="宋体"/>
          <w:sz w:val="24"/>
        </w:rPr>
      </w:pPr>
    </w:p>
    <w:p w14:paraId="2491CDD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eastAsia="zh-CN"/>
        </w:rPr>
      </w:pPr>
    </w:p>
    <w:p w14:paraId="49F3914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校</w:t>
      </w:r>
      <w:r>
        <w:rPr>
          <w:rFonts w:hint="eastAsia" w:ascii="仿宋" w:hAnsi="仿宋" w:eastAsia="仿宋" w:cs="仿宋"/>
          <w:sz w:val="32"/>
          <w:szCs w:val="32"/>
        </w:rPr>
        <w:t>属各单位：</w:t>
      </w:r>
    </w:p>
    <w:p w14:paraId="0EFDB2F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Cs/>
          <w:color w:val="000000"/>
          <w:kern w:val="0"/>
          <w:sz w:val="32"/>
          <w:szCs w:val="32"/>
          <w:lang w:val="en-US" w:eastAsia="zh-CN"/>
        </w:rPr>
      </w:pPr>
      <w:r>
        <w:rPr>
          <w:rFonts w:hint="eastAsia" w:ascii="仿宋" w:hAnsi="仿宋" w:eastAsia="仿宋" w:cs="仿宋"/>
          <w:sz w:val="32"/>
          <w:szCs w:val="32"/>
          <w:lang w:eastAsia="zh-CN"/>
        </w:rPr>
        <w:t>湖南</w:t>
      </w:r>
      <w:r>
        <w:rPr>
          <w:rFonts w:hint="eastAsia" w:ascii="仿宋" w:hAnsi="仿宋" w:eastAsia="仿宋" w:cs="仿宋"/>
          <w:sz w:val="32"/>
          <w:szCs w:val="32"/>
        </w:rPr>
        <w:t>省</w:t>
      </w:r>
      <w:r>
        <w:rPr>
          <w:rFonts w:hint="eastAsia" w:ascii="仿宋" w:hAnsi="仿宋" w:eastAsia="仿宋" w:cs="仿宋"/>
          <w:sz w:val="32"/>
          <w:szCs w:val="32"/>
          <w:lang w:eastAsia="zh-CN"/>
        </w:rPr>
        <w:t>教育科学“十</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五”规划</w:t>
      </w:r>
      <w:r>
        <w:rPr>
          <w:rFonts w:hint="eastAsia" w:ascii="仿宋" w:hAnsi="仿宋" w:eastAsia="仿宋" w:cs="仿宋"/>
          <w:sz w:val="32"/>
          <w:szCs w:val="32"/>
          <w:lang w:val="en-US" w:eastAsia="zh-CN"/>
        </w:rPr>
        <w:t>2026年度</w:t>
      </w:r>
      <w:r>
        <w:rPr>
          <w:rFonts w:hint="eastAsia" w:ascii="仿宋" w:hAnsi="仿宋" w:eastAsia="仿宋" w:cs="仿宋"/>
          <w:sz w:val="32"/>
          <w:szCs w:val="32"/>
          <w:lang w:eastAsia="zh-CN"/>
        </w:rPr>
        <w:t>课题校内评审结束。教职工自主申报</w:t>
      </w:r>
      <w:r>
        <w:rPr>
          <w:rFonts w:hint="eastAsia" w:ascii="仿宋" w:hAnsi="仿宋" w:eastAsia="仿宋" w:cs="仿宋"/>
          <w:sz w:val="32"/>
          <w:szCs w:val="32"/>
          <w:lang w:val="en-US" w:eastAsia="zh-CN"/>
        </w:rPr>
        <w:t>课题共37项（其中一般单位资助课题14项，一般资助课题19项（含青年项目）</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教育学专项课题4项，奖励项目1项（不占指标）经</w:t>
      </w:r>
      <w:r>
        <w:rPr>
          <w:rFonts w:hint="eastAsia" w:ascii="仿宋" w:hAnsi="仿宋" w:eastAsia="仿宋" w:cs="仿宋"/>
          <w:sz w:val="32"/>
          <w:szCs w:val="32"/>
        </w:rPr>
        <w:t>科研</w:t>
      </w:r>
      <w:r>
        <w:rPr>
          <w:rFonts w:hint="eastAsia" w:ascii="仿宋" w:hAnsi="仿宋" w:eastAsia="仿宋" w:cs="仿宋"/>
          <w:sz w:val="32"/>
          <w:szCs w:val="32"/>
          <w:lang w:eastAsia="zh-CN"/>
        </w:rPr>
        <w:t>与职教发展处</w:t>
      </w:r>
      <w:r>
        <w:rPr>
          <w:rFonts w:hint="eastAsia" w:ascii="仿宋" w:hAnsi="仿宋" w:eastAsia="仿宋" w:cs="仿宋"/>
          <w:sz w:val="32"/>
          <w:szCs w:val="32"/>
        </w:rPr>
        <w:t>资格审</w:t>
      </w:r>
      <w:r>
        <w:rPr>
          <w:rFonts w:hint="eastAsia" w:ascii="仿宋" w:hAnsi="仿宋" w:eastAsia="仿宋" w:cs="仿宋"/>
          <w:sz w:val="32"/>
          <w:szCs w:val="32"/>
          <w:lang w:eastAsia="zh-CN"/>
        </w:rPr>
        <w:t>查，</w:t>
      </w:r>
      <w:r>
        <w:rPr>
          <w:rFonts w:hint="eastAsia" w:ascii="仿宋" w:hAnsi="仿宋" w:eastAsia="仿宋" w:cs="仿宋"/>
          <w:sz w:val="32"/>
          <w:szCs w:val="32"/>
          <w:lang w:val="en-US" w:eastAsia="zh-CN"/>
        </w:rPr>
        <w:t>均符合申报要求。经</w:t>
      </w:r>
      <w:r>
        <w:rPr>
          <w:rFonts w:hint="eastAsia" w:ascii="仿宋" w:hAnsi="仿宋" w:eastAsia="仿宋" w:cs="仿宋"/>
          <w:sz w:val="32"/>
          <w:szCs w:val="32"/>
          <w:lang w:eastAsia="zh-CN"/>
        </w:rPr>
        <w:t>校外专家匿名</w:t>
      </w:r>
      <w:r>
        <w:rPr>
          <w:rFonts w:hint="eastAsia" w:ascii="仿宋" w:hAnsi="仿宋" w:eastAsia="仿宋" w:cs="仿宋"/>
          <w:sz w:val="32"/>
          <w:szCs w:val="32"/>
        </w:rPr>
        <w:t>评审</w:t>
      </w:r>
      <w:r>
        <w:rPr>
          <w:rFonts w:hint="eastAsia" w:ascii="仿宋" w:hAnsi="仿宋" w:eastAsia="仿宋" w:cs="仿宋"/>
          <w:sz w:val="32"/>
          <w:szCs w:val="32"/>
          <w:lang w:val="en-US" w:eastAsia="zh-CN"/>
        </w:rPr>
        <w:t>，</w:t>
      </w:r>
      <w:r>
        <w:rPr>
          <w:rFonts w:hint="eastAsia" w:ascii="仿宋" w:hAnsi="仿宋" w:eastAsia="仿宋" w:cs="仿宋"/>
          <w:sz w:val="32"/>
          <w:szCs w:val="32"/>
        </w:rPr>
        <w:t>科研与</w:t>
      </w:r>
      <w:r>
        <w:rPr>
          <w:rFonts w:hint="eastAsia" w:ascii="仿宋" w:hAnsi="仿宋" w:eastAsia="仿宋" w:cs="仿宋"/>
          <w:sz w:val="32"/>
          <w:szCs w:val="32"/>
          <w:lang w:eastAsia="zh-CN"/>
        </w:rPr>
        <w:t>职教发展处</w:t>
      </w:r>
      <w:r>
        <w:rPr>
          <w:rFonts w:hint="eastAsia" w:ascii="仿宋" w:hAnsi="仿宋" w:eastAsia="仿宋" w:cs="仿宋"/>
          <w:sz w:val="32"/>
          <w:szCs w:val="32"/>
        </w:rPr>
        <w:t>统计</w:t>
      </w:r>
      <w:r>
        <w:rPr>
          <w:rFonts w:hint="eastAsia" w:ascii="仿宋" w:hAnsi="仿宋" w:eastAsia="仿宋" w:cs="仿宋"/>
          <w:sz w:val="32"/>
          <w:szCs w:val="32"/>
          <w:lang w:eastAsia="zh-CN"/>
        </w:rPr>
        <w:t>评审</w:t>
      </w:r>
      <w:r>
        <w:rPr>
          <w:rFonts w:hint="eastAsia" w:ascii="仿宋" w:hAnsi="仿宋" w:eastAsia="仿宋" w:cs="仿宋"/>
          <w:sz w:val="32"/>
          <w:szCs w:val="32"/>
        </w:rPr>
        <w:t>结果</w:t>
      </w:r>
      <w:r>
        <w:rPr>
          <w:rFonts w:hint="eastAsia" w:ascii="仿宋" w:hAnsi="仿宋" w:eastAsia="仿宋" w:cs="仿宋"/>
          <w:sz w:val="32"/>
          <w:szCs w:val="32"/>
          <w:lang w:eastAsia="zh-CN"/>
        </w:rPr>
        <w:t>，纪检监察处监督，根据省规划办下达的申报名额，学校</w:t>
      </w:r>
      <w:r>
        <w:rPr>
          <w:rFonts w:hint="eastAsia" w:ascii="仿宋" w:hAnsi="仿宋" w:eastAsia="仿宋" w:cs="仿宋"/>
          <w:sz w:val="32"/>
          <w:szCs w:val="32"/>
          <w:lang w:val="en-US" w:eastAsia="zh-CN"/>
        </w:rPr>
        <w:t>拟</w:t>
      </w:r>
      <w:r>
        <w:rPr>
          <w:rFonts w:hint="eastAsia" w:ascii="仿宋" w:hAnsi="仿宋" w:eastAsia="仿宋" w:cs="仿宋"/>
          <w:sz w:val="32"/>
          <w:szCs w:val="32"/>
          <w:lang w:eastAsia="zh-CN"/>
        </w:rPr>
        <w:t>将</w:t>
      </w:r>
      <w:r>
        <w:rPr>
          <w:rFonts w:hint="eastAsia" w:ascii="仿宋" w:hAnsi="仿宋" w:eastAsia="仿宋" w:cs="仿宋"/>
          <w:sz w:val="32"/>
          <w:szCs w:val="32"/>
          <w:lang w:val="en-US" w:eastAsia="zh-CN"/>
        </w:rPr>
        <w:t>一般单位资助课题</w:t>
      </w:r>
      <w:r>
        <w:rPr>
          <w:rFonts w:hint="eastAsia" w:ascii="仿宋" w:hAnsi="仿宋" w:eastAsia="仿宋" w:cs="仿宋"/>
          <w:sz w:val="32"/>
          <w:szCs w:val="32"/>
          <w:lang w:eastAsia="zh-CN"/>
        </w:rPr>
        <w:t>分数排名前</w:t>
      </w:r>
      <w:r>
        <w:rPr>
          <w:rFonts w:hint="eastAsia" w:ascii="仿宋" w:hAnsi="仿宋" w:eastAsia="仿宋" w:cs="仿宋"/>
          <w:sz w:val="32"/>
          <w:szCs w:val="32"/>
          <w:lang w:val="en-US" w:eastAsia="zh-CN"/>
        </w:rPr>
        <w:t>二，一般资助课题排名前五，教育学专项课题排名前二，共十项</w:t>
      </w:r>
      <w:r>
        <w:rPr>
          <w:rFonts w:hint="eastAsia" w:ascii="仿宋" w:hAnsi="仿宋" w:eastAsia="仿宋" w:cs="仿宋"/>
          <w:sz w:val="32"/>
          <w:szCs w:val="32"/>
          <w:lang w:eastAsia="zh-CN"/>
        </w:rPr>
        <w:t>课题</w:t>
      </w:r>
      <w:r>
        <w:rPr>
          <w:rFonts w:hint="eastAsia" w:ascii="仿宋" w:hAnsi="仿宋" w:eastAsia="仿宋" w:cs="仿宋"/>
          <w:sz w:val="32"/>
          <w:szCs w:val="32"/>
          <w:lang w:val="en-US" w:eastAsia="zh-CN"/>
        </w:rPr>
        <w:t>推荐上报省规划办参评。</w:t>
      </w:r>
      <w:r>
        <w:rPr>
          <w:rFonts w:hint="eastAsia" w:ascii="仿宋" w:hAnsi="仿宋" w:eastAsia="仿宋" w:cs="仿宋"/>
          <w:sz w:val="32"/>
          <w:szCs w:val="32"/>
        </w:rPr>
        <w:t>现将</w:t>
      </w:r>
      <w:r>
        <w:rPr>
          <w:rFonts w:hint="eastAsia" w:ascii="仿宋" w:hAnsi="仿宋" w:eastAsia="仿宋" w:cs="仿宋"/>
          <w:sz w:val="32"/>
          <w:szCs w:val="32"/>
          <w:lang w:val="en-US" w:eastAsia="zh-CN"/>
        </w:rPr>
        <w:t>拟</w:t>
      </w:r>
      <w:r>
        <w:rPr>
          <w:rFonts w:hint="eastAsia" w:ascii="仿宋" w:hAnsi="仿宋" w:eastAsia="仿宋" w:cs="仿宋"/>
          <w:sz w:val="32"/>
          <w:szCs w:val="32"/>
        </w:rPr>
        <w:t>推荐</w:t>
      </w:r>
      <w:r>
        <w:rPr>
          <w:rFonts w:hint="eastAsia" w:ascii="仿宋" w:hAnsi="仿宋" w:eastAsia="仿宋" w:cs="仿宋"/>
          <w:sz w:val="32"/>
          <w:szCs w:val="32"/>
          <w:lang w:eastAsia="zh-CN"/>
        </w:rPr>
        <w:t>课题</w:t>
      </w:r>
      <w:r>
        <w:rPr>
          <w:rFonts w:hint="eastAsia" w:ascii="仿宋" w:hAnsi="仿宋" w:eastAsia="仿宋" w:cs="仿宋"/>
          <w:sz w:val="32"/>
          <w:szCs w:val="32"/>
        </w:rPr>
        <w:t>予以公示（见附件）</w:t>
      </w:r>
      <w:r>
        <w:rPr>
          <w:rFonts w:hint="eastAsia" w:ascii="仿宋" w:hAnsi="仿宋" w:eastAsia="仿宋" w:cs="仿宋"/>
          <w:sz w:val="32"/>
          <w:szCs w:val="32"/>
          <w:lang w:eastAsia="zh-CN"/>
        </w:rPr>
        <w:t>，</w:t>
      </w:r>
      <w:r>
        <w:rPr>
          <w:rFonts w:hint="eastAsia" w:ascii="仿宋" w:hAnsi="仿宋" w:eastAsia="仿宋" w:cs="仿宋"/>
          <w:sz w:val="32"/>
          <w:szCs w:val="32"/>
        </w:rPr>
        <w:t>公示期从</w:t>
      </w:r>
      <w:r>
        <w:rPr>
          <w:rFonts w:hint="eastAsia" w:ascii="仿宋" w:hAnsi="仿宋" w:eastAsia="仿宋" w:cs="仿宋"/>
          <w:sz w:val="32"/>
          <w:szCs w:val="32"/>
          <w:lang w:val="en-US" w:eastAsia="zh-CN"/>
        </w:rPr>
        <w:t>2026年4月27日</w:t>
      </w:r>
      <w:r>
        <w:rPr>
          <w:rFonts w:hint="eastAsia" w:ascii="仿宋" w:hAnsi="仿宋" w:eastAsia="仿宋" w:cs="仿宋"/>
          <w:sz w:val="32"/>
          <w:szCs w:val="32"/>
        </w:rPr>
        <w:t>至</w:t>
      </w:r>
      <w:r>
        <w:rPr>
          <w:rFonts w:hint="eastAsia" w:ascii="仿宋" w:hAnsi="仿宋" w:eastAsia="仿宋" w:cs="仿宋"/>
          <w:sz w:val="32"/>
          <w:szCs w:val="32"/>
          <w:lang w:val="en-US" w:eastAsia="zh-CN"/>
        </w:rPr>
        <w:t>4月29</w:t>
      </w:r>
      <w:r>
        <w:rPr>
          <w:rFonts w:hint="eastAsia" w:ascii="仿宋" w:hAnsi="仿宋" w:eastAsia="仿宋" w:cs="仿宋"/>
          <w:sz w:val="32"/>
          <w:szCs w:val="32"/>
        </w:rPr>
        <w:t>日止，如有异议，请</w:t>
      </w:r>
      <w:r>
        <w:rPr>
          <w:rFonts w:hint="eastAsia" w:ascii="仿宋" w:hAnsi="仿宋" w:eastAsia="仿宋" w:cs="仿宋"/>
          <w:sz w:val="32"/>
          <w:szCs w:val="32"/>
          <w:lang w:eastAsia="zh-CN"/>
        </w:rPr>
        <w:t>实名</w:t>
      </w:r>
      <w:r>
        <w:rPr>
          <w:rFonts w:hint="eastAsia" w:ascii="仿宋" w:hAnsi="仿宋" w:eastAsia="仿宋" w:cs="仿宋"/>
          <w:sz w:val="32"/>
          <w:szCs w:val="32"/>
        </w:rPr>
        <w:t>与</w:t>
      </w:r>
      <w:r>
        <w:rPr>
          <w:rFonts w:hint="eastAsia" w:ascii="仿宋" w:hAnsi="仿宋" w:eastAsia="仿宋" w:cs="仿宋"/>
          <w:sz w:val="32"/>
          <w:szCs w:val="32"/>
          <w:lang w:eastAsia="zh-CN"/>
        </w:rPr>
        <w:t>纪检监察</w:t>
      </w:r>
      <w:r>
        <w:rPr>
          <w:rFonts w:hint="eastAsia" w:ascii="仿宋" w:hAnsi="仿宋" w:eastAsia="仿宋" w:cs="仿宋"/>
          <w:sz w:val="32"/>
          <w:szCs w:val="32"/>
        </w:rPr>
        <w:t>处联系。联系电话：</w:t>
      </w:r>
      <w:r>
        <w:rPr>
          <w:rFonts w:hint="eastAsia" w:ascii="仿宋" w:hAnsi="仿宋" w:eastAsia="仿宋" w:cs="仿宋"/>
          <w:sz w:val="32"/>
          <w:szCs w:val="32"/>
          <w:lang w:val="en-US" w:eastAsia="zh-CN"/>
        </w:rPr>
        <w:t>84095297</w:t>
      </w:r>
      <w:r>
        <w:rPr>
          <w:rFonts w:hint="eastAsia" w:ascii="仿宋" w:hAnsi="仿宋" w:eastAsia="仿宋" w:cs="仿宋"/>
          <w:sz w:val="32"/>
          <w:szCs w:val="32"/>
        </w:rPr>
        <w:t>，</w:t>
      </w:r>
      <w:r>
        <w:rPr>
          <w:rFonts w:hint="eastAsia" w:ascii="仿宋" w:hAnsi="仿宋" w:eastAsia="仿宋" w:cs="仿宋"/>
          <w:bCs/>
          <w:color w:val="000000"/>
          <w:kern w:val="0"/>
          <w:sz w:val="32"/>
          <w:szCs w:val="32"/>
        </w:rPr>
        <w:t>邮箱：</w:t>
      </w:r>
      <w:r>
        <w:rPr>
          <w:rFonts w:hint="eastAsia" w:ascii="仿宋" w:hAnsi="仿宋" w:eastAsia="仿宋" w:cs="仿宋"/>
          <w:bCs/>
          <w:color w:val="000000"/>
          <w:kern w:val="0"/>
          <w:sz w:val="32"/>
          <w:szCs w:val="32"/>
          <w:lang w:val="en-US" w:eastAsia="zh-CN"/>
        </w:rPr>
        <w:t>gczyjw@163.com。</w:t>
      </w:r>
    </w:p>
    <w:p w14:paraId="6D3D8804">
      <w:pPr>
        <w:keepNext w:val="0"/>
        <w:keepLines w:val="0"/>
        <w:pageBreakBefore w:val="0"/>
        <w:widowControl w:val="0"/>
        <w:tabs>
          <w:tab w:val="left" w:pos="4962"/>
        </w:tabs>
        <w:kinsoku/>
        <w:wordWrap/>
        <w:overflowPunct/>
        <w:topLinePunct w:val="0"/>
        <w:autoSpaceDE/>
        <w:autoSpaceDN/>
        <w:bidi w:val="0"/>
        <w:adjustRightInd/>
        <w:snapToGrid/>
        <w:spacing w:line="560" w:lineRule="exact"/>
        <w:ind w:left="0" w:leftChars="-67" w:hanging="141" w:hangingChars="44"/>
        <w:textAlignment w:val="auto"/>
        <w:rPr>
          <w:rFonts w:hint="eastAsia" w:ascii="仿宋" w:hAnsi="仿宋" w:eastAsia="仿宋" w:cs="仿宋"/>
          <w:bCs/>
          <w:color w:val="000000"/>
          <w:kern w:val="0"/>
          <w:sz w:val="32"/>
          <w:szCs w:val="32"/>
        </w:rPr>
      </w:pPr>
      <w:r>
        <w:rPr>
          <w:rFonts w:hint="eastAsia" w:ascii="仿宋" w:hAnsi="仿宋" w:eastAsia="仿宋" w:cs="仿宋"/>
          <w:b/>
          <w:bCs/>
          <w:color w:val="000000"/>
          <w:kern w:val="0"/>
          <w:sz w:val="32"/>
          <w:szCs w:val="32"/>
        </w:rPr>
        <w:t xml:space="preserve">                             </w:t>
      </w:r>
      <w:r>
        <w:rPr>
          <w:rFonts w:hint="eastAsia" w:ascii="仿宋" w:hAnsi="仿宋" w:eastAsia="仿宋" w:cs="仿宋"/>
          <w:bCs/>
          <w:color w:val="000000"/>
          <w:kern w:val="0"/>
          <w:sz w:val="32"/>
          <w:szCs w:val="32"/>
        </w:rPr>
        <w:t xml:space="preserve"> </w:t>
      </w:r>
    </w:p>
    <w:p w14:paraId="5A58EB91">
      <w:pPr>
        <w:keepNext w:val="0"/>
        <w:keepLines w:val="0"/>
        <w:pageBreakBefore w:val="0"/>
        <w:widowControl w:val="0"/>
        <w:tabs>
          <w:tab w:val="left" w:pos="4962"/>
        </w:tabs>
        <w:kinsoku/>
        <w:wordWrap/>
        <w:overflowPunct/>
        <w:topLinePunct w:val="0"/>
        <w:autoSpaceDE/>
        <w:autoSpaceDN/>
        <w:bidi w:val="0"/>
        <w:adjustRightInd/>
        <w:snapToGrid/>
        <w:spacing w:line="560" w:lineRule="exact"/>
        <w:ind w:firstLine="5440" w:firstLineChars="1700"/>
        <w:textAlignment w:val="auto"/>
        <w:rPr>
          <w:rFonts w:hint="eastAsia" w:ascii="仿宋" w:hAnsi="仿宋" w:eastAsia="仿宋" w:cs="仿宋"/>
          <w:bCs/>
          <w:color w:val="000000"/>
          <w:kern w:val="0"/>
          <w:sz w:val="32"/>
          <w:szCs w:val="32"/>
        </w:rPr>
      </w:pPr>
      <w:r>
        <w:rPr>
          <w:rFonts w:hint="eastAsia" w:ascii="仿宋" w:hAnsi="仿宋" w:eastAsia="仿宋" w:cs="仿宋"/>
          <w:bCs/>
          <w:color w:val="000000"/>
          <w:kern w:val="0"/>
          <w:sz w:val="32"/>
          <w:szCs w:val="32"/>
        </w:rPr>
        <w:t>科研与职教发展处</w:t>
      </w:r>
    </w:p>
    <w:p w14:paraId="5B91BF9B">
      <w:pPr>
        <w:keepNext w:val="0"/>
        <w:keepLines w:val="0"/>
        <w:pageBreakBefore w:val="0"/>
        <w:widowControl w:val="0"/>
        <w:tabs>
          <w:tab w:val="left" w:pos="4962"/>
        </w:tabs>
        <w:kinsoku/>
        <w:wordWrap/>
        <w:overflowPunct/>
        <w:topLinePunct w:val="0"/>
        <w:autoSpaceDE/>
        <w:autoSpaceDN/>
        <w:bidi w:val="0"/>
        <w:adjustRightInd/>
        <w:snapToGrid/>
        <w:spacing w:line="560" w:lineRule="exact"/>
        <w:ind w:left="5436" w:leftChars="-67" w:hanging="5577" w:hangingChars="1743"/>
        <w:textAlignment w:val="auto"/>
        <w:rPr>
          <w:rFonts w:hint="eastAsia" w:ascii="仿宋" w:hAnsi="仿宋" w:eastAsia="仿宋" w:cs="仿宋"/>
          <w:bCs/>
          <w:color w:val="000000"/>
          <w:kern w:val="0"/>
          <w:sz w:val="32"/>
          <w:szCs w:val="32"/>
        </w:rPr>
      </w:pPr>
      <w:r>
        <w:rPr>
          <w:rFonts w:hint="eastAsia" w:ascii="仿宋" w:hAnsi="仿宋" w:eastAsia="仿宋" w:cs="仿宋"/>
          <w:bCs/>
          <w:color w:val="000000"/>
          <w:kern w:val="0"/>
          <w:sz w:val="32"/>
          <w:szCs w:val="32"/>
        </w:rPr>
        <w:t xml:space="preserve">                                </w:t>
      </w:r>
      <w:r>
        <w:rPr>
          <w:rFonts w:hint="eastAsia" w:ascii="仿宋" w:hAnsi="仿宋" w:eastAsia="仿宋" w:cs="仿宋"/>
          <w:bCs/>
          <w:color w:val="000000"/>
          <w:kern w:val="0"/>
          <w:sz w:val="32"/>
          <w:szCs w:val="32"/>
          <w:lang w:val="en-US" w:eastAsia="zh-CN"/>
        </w:rPr>
        <w:t xml:space="preserve">   </w:t>
      </w:r>
      <w:r>
        <w:rPr>
          <w:rFonts w:hint="eastAsia" w:ascii="仿宋" w:hAnsi="仿宋" w:eastAsia="仿宋" w:cs="仿宋"/>
          <w:bCs/>
          <w:color w:val="000000"/>
          <w:kern w:val="0"/>
          <w:sz w:val="32"/>
          <w:szCs w:val="32"/>
        </w:rPr>
        <w:t>20</w:t>
      </w:r>
      <w:r>
        <w:rPr>
          <w:rFonts w:hint="eastAsia" w:ascii="仿宋" w:hAnsi="仿宋" w:eastAsia="仿宋" w:cs="仿宋"/>
          <w:bCs/>
          <w:color w:val="000000"/>
          <w:kern w:val="0"/>
          <w:sz w:val="32"/>
          <w:szCs w:val="32"/>
          <w:lang w:val="en-US" w:eastAsia="zh-CN"/>
        </w:rPr>
        <w:t>26</w:t>
      </w:r>
      <w:r>
        <w:rPr>
          <w:rFonts w:hint="eastAsia" w:ascii="仿宋" w:hAnsi="仿宋" w:eastAsia="仿宋" w:cs="仿宋"/>
          <w:bCs/>
          <w:color w:val="000000"/>
          <w:kern w:val="0"/>
          <w:sz w:val="32"/>
          <w:szCs w:val="32"/>
        </w:rPr>
        <w:t>年</w:t>
      </w:r>
      <w:r>
        <w:rPr>
          <w:rFonts w:hint="eastAsia" w:ascii="仿宋" w:hAnsi="仿宋" w:eastAsia="仿宋" w:cs="仿宋"/>
          <w:bCs/>
          <w:color w:val="000000"/>
          <w:kern w:val="0"/>
          <w:sz w:val="32"/>
          <w:szCs w:val="32"/>
          <w:lang w:val="en-US" w:eastAsia="zh-CN"/>
        </w:rPr>
        <w:t>4</w:t>
      </w:r>
      <w:r>
        <w:rPr>
          <w:rFonts w:hint="eastAsia" w:ascii="仿宋" w:hAnsi="仿宋" w:eastAsia="仿宋" w:cs="仿宋"/>
          <w:bCs/>
          <w:color w:val="000000"/>
          <w:kern w:val="0"/>
          <w:sz w:val="32"/>
          <w:szCs w:val="32"/>
        </w:rPr>
        <w:t>月</w:t>
      </w:r>
      <w:r>
        <w:rPr>
          <w:rFonts w:hint="eastAsia" w:ascii="仿宋" w:hAnsi="仿宋" w:eastAsia="仿宋" w:cs="仿宋"/>
          <w:bCs/>
          <w:color w:val="000000"/>
          <w:kern w:val="0"/>
          <w:sz w:val="32"/>
          <w:szCs w:val="32"/>
          <w:lang w:val="en-US" w:eastAsia="zh-CN"/>
        </w:rPr>
        <w:t>27</w:t>
      </w:r>
      <w:r>
        <w:rPr>
          <w:rFonts w:hint="eastAsia" w:ascii="仿宋" w:hAnsi="仿宋" w:eastAsia="仿宋" w:cs="仿宋"/>
          <w:bCs/>
          <w:color w:val="000000"/>
          <w:kern w:val="0"/>
          <w:sz w:val="32"/>
          <w:szCs w:val="32"/>
        </w:rPr>
        <w:t>日</w:t>
      </w:r>
    </w:p>
    <w:p w14:paraId="5F2A1F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br w:type="page"/>
      </w:r>
      <w:r>
        <w:rPr>
          <w:rFonts w:hint="eastAsia" w:ascii="仿宋" w:hAnsi="仿宋" w:eastAsia="仿宋" w:cs="仿宋"/>
          <w:sz w:val="32"/>
          <w:szCs w:val="32"/>
          <w:lang w:eastAsia="zh-CN"/>
        </w:rPr>
        <w:t>附件：</w:t>
      </w:r>
    </w:p>
    <w:p w14:paraId="0EE34D97">
      <w:pPr>
        <w:rPr>
          <w:rFonts w:hint="eastAsia"/>
          <w:sz w:val="22"/>
          <w:szCs w:val="28"/>
        </w:rPr>
      </w:pPr>
    </w:p>
    <w:p w14:paraId="7A1B0A73">
      <w:pPr>
        <w:keepNext w:val="0"/>
        <w:keepLines w:val="0"/>
        <w:pageBreakBefore w:val="0"/>
        <w:widowControl w:val="0"/>
        <w:kinsoku/>
        <w:wordWrap/>
        <w:overflowPunct/>
        <w:topLinePunct w:val="0"/>
        <w:autoSpaceDE/>
        <w:autoSpaceDN/>
        <w:bidi w:val="0"/>
        <w:adjustRightInd/>
        <w:snapToGrid/>
        <w:spacing w:line="460" w:lineRule="exact"/>
        <w:ind w:right="28"/>
        <w:jc w:val="center"/>
        <w:textAlignment w:val="auto"/>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rPr>
        <w:t>湖南工程职业技术学院湖南省教育科学</w:t>
      </w:r>
      <w:r>
        <w:rPr>
          <w:rFonts w:hint="eastAsia" w:ascii="仿宋_GB2312" w:hAnsi="仿宋_GB2312" w:eastAsia="仿宋_GB2312" w:cs="仿宋_GB2312"/>
          <w:b/>
          <w:sz w:val="32"/>
          <w:szCs w:val="32"/>
          <w:lang w:eastAsia="zh-CN"/>
        </w:rPr>
        <w:t>“十</w:t>
      </w:r>
      <w:r>
        <w:rPr>
          <w:rFonts w:hint="eastAsia" w:ascii="仿宋_GB2312" w:hAnsi="仿宋_GB2312" w:eastAsia="仿宋_GB2312" w:cs="仿宋_GB2312"/>
          <w:b/>
          <w:sz w:val="32"/>
          <w:szCs w:val="32"/>
          <w:lang w:val="en-US" w:eastAsia="zh-CN"/>
        </w:rPr>
        <w:t>五</w:t>
      </w:r>
      <w:r>
        <w:rPr>
          <w:rFonts w:hint="eastAsia" w:ascii="仿宋_GB2312" w:hAnsi="仿宋_GB2312" w:eastAsia="仿宋_GB2312" w:cs="仿宋_GB2312"/>
          <w:b/>
          <w:sz w:val="32"/>
          <w:szCs w:val="32"/>
          <w:lang w:eastAsia="zh-CN"/>
        </w:rPr>
        <w:t>五”规划</w:t>
      </w:r>
    </w:p>
    <w:p w14:paraId="3C8F8BA5">
      <w:pPr>
        <w:keepNext w:val="0"/>
        <w:keepLines w:val="0"/>
        <w:pageBreakBefore w:val="0"/>
        <w:widowControl w:val="0"/>
        <w:kinsoku/>
        <w:wordWrap/>
        <w:overflowPunct/>
        <w:topLinePunct w:val="0"/>
        <w:autoSpaceDE/>
        <w:autoSpaceDN/>
        <w:bidi w:val="0"/>
        <w:adjustRightInd/>
        <w:snapToGrid/>
        <w:spacing w:after="157" w:afterLines="50" w:line="460" w:lineRule="exact"/>
        <w:ind w:right="28"/>
        <w:jc w:val="center"/>
        <w:textAlignment w:val="auto"/>
        <w:rPr>
          <w:rFonts w:hint="default" w:ascii="宋体" w:hAnsi="宋体" w:eastAsia="仿宋_GB2312" w:cs="Times New Roman"/>
          <w:b/>
          <w:sz w:val="24"/>
          <w:szCs w:val="24"/>
          <w:lang w:val="en-US" w:eastAsia="zh-CN"/>
        </w:rPr>
      </w:pPr>
      <w:r>
        <w:rPr>
          <w:rFonts w:hint="eastAsia" w:ascii="仿宋_GB2312" w:hAnsi="仿宋_GB2312" w:eastAsia="仿宋_GB2312" w:cs="仿宋_GB2312"/>
          <w:b/>
          <w:sz w:val="32"/>
          <w:szCs w:val="32"/>
          <w:lang w:val="en-US" w:eastAsia="zh-CN"/>
        </w:rPr>
        <w:t>2026年度一般资助及单位自筹</w:t>
      </w:r>
      <w:r>
        <w:rPr>
          <w:rFonts w:hint="eastAsia" w:ascii="仿宋_GB2312" w:hAnsi="仿宋_GB2312" w:eastAsia="仿宋_GB2312" w:cs="仿宋_GB2312"/>
          <w:b/>
          <w:sz w:val="32"/>
          <w:szCs w:val="32"/>
          <w:lang w:eastAsia="zh-CN"/>
        </w:rPr>
        <w:t>课题</w:t>
      </w:r>
      <w:r>
        <w:rPr>
          <w:rFonts w:hint="eastAsia" w:ascii="仿宋_GB2312" w:hAnsi="仿宋_GB2312" w:eastAsia="仿宋_GB2312" w:cs="仿宋_GB2312"/>
          <w:b/>
          <w:sz w:val="32"/>
          <w:szCs w:val="32"/>
          <w:lang w:val="en-US" w:eastAsia="zh-CN"/>
        </w:rPr>
        <w:t>拟</w:t>
      </w:r>
      <w:r>
        <w:rPr>
          <w:rFonts w:hint="eastAsia" w:ascii="仿宋_GB2312" w:hAnsi="仿宋_GB2312" w:eastAsia="仿宋_GB2312" w:cs="仿宋_GB2312"/>
          <w:b/>
          <w:sz w:val="32"/>
          <w:szCs w:val="32"/>
        </w:rPr>
        <w:t>推荐名单</w:t>
      </w:r>
    </w:p>
    <w:tbl>
      <w:tblPr>
        <w:tblStyle w:val="2"/>
        <w:tblW w:w="8586" w:type="dxa"/>
        <w:jc w:val="center"/>
        <w:tblLayout w:type="autofit"/>
        <w:tblCellMar>
          <w:top w:w="0" w:type="dxa"/>
          <w:left w:w="108" w:type="dxa"/>
          <w:bottom w:w="0" w:type="dxa"/>
          <w:right w:w="108" w:type="dxa"/>
        </w:tblCellMar>
      </w:tblPr>
      <w:tblGrid>
        <w:gridCol w:w="870"/>
        <w:gridCol w:w="1292"/>
        <w:gridCol w:w="1243"/>
        <w:gridCol w:w="5181"/>
      </w:tblGrid>
      <w:tr w14:paraId="133517C0">
        <w:tblPrEx>
          <w:tblCellMar>
            <w:top w:w="0" w:type="dxa"/>
            <w:left w:w="108" w:type="dxa"/>
            <w:bottom w:w="0" w:type="dxa"/>
            <w:right w:w="108" w:type="dxa"/>
          </w:tblCellMar>
        </w:tblPrEx>
        <w:trPr>
          <w:trHeight w:val="1013"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5DE304B1">
            <w:pPr>
              <w:keepNext w:val="0"/>
              <w:keepLines w:val="0"/>
              <w:pageBreakBefore w:val="0"/>
              <w:widowControl/>
              <w:kinsoku/>
              <w:wordWrap/>
              <w:overflowPunct/>
              <w:topLinePunct w:val="0"/>
              <w:autoSpaceDE/>
              <w:autoSpaceDN/>
              <w:bidi w:val="0"/>
              <w:adjustRightInd/>
              <w:snapToGrid/>
              <w:spacing w:line="460" w:lineRule="exact"/>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序号</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65B602E6">
            <w:pPr>
              <w:keepNext w:val="0"/>
              <w:keepLines w:val="0"/>
              <w:pageBreakBefore w:val="0"/>
              <w:widowControl/>
              <w:kinsoku/>
              <w:wordWrap/>
              <w:overflowPunct/>
              <w:topLinePunct w:val="0"/>
              <w:autoSpaceDE/>
              <w:autoSpaceDN/>
              <w:bidi w:val="0"/>
              <w:adjustRightInd/>
              <w:snapToGrid/>
              <w:spacing w:line="460" w:lineRule="exact"/>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姓名</w:t>
            </w:r>
          </w:p>
        </w:tc>
        <w:tc>
          <w:tcPr>
            <w:tcW w:w="1243" w:type="dxa"/>
            <w:tcBorders>
              <w:top w:val="single" w:color="auto" w:sz="4" w:space="0"/>
              <w:left w:val="single" w:color="auto" w:sz="4" w:space="0"/>
              <w:bottom w:val="single" w:color="auto" w:sz="4" w:space="0"/>
              <w:right w:val="single" w:color="auto" w:sz="4" w:space="0"/>
            </w:tcBorders>
            <w:noWrap w:val="0"/>
            <w:vAlign w:val="center"/>
          </w:tcPr>
          <w:p w14:paraId="55803956">
            <w:pPr>
              <w:keepNext w:val="0"/>
              <w:keepLines w:val="0"/>
              <w:pageBreakBefore w:val="0"/>
              <w:widowControl/>
              <w:kinsoku/>
              <w:wordWrap/>
              <w:overflowPunct/>
              <w:topLinePunct w:val="0"/>
              <w:autoSpaceDE/>
              <w:autoSpaceDN/>
              <w:bidi w:val="0"/>
              <w:adjustRightInd/>
              <w:snapToGrid/>
              <w:spacing w:line="460" w:lineRule="exact"/>
              <w:jc w:val="center"/>
              <w:rPr>
                <w:rFonts w:hint="eastAsia" w:ascii="仿宋" w:hAnsi="仿宋" w:eastAsia="仿宋" w:cs="仿宋"/>
                <w:b/>
                <w:bCs/>
                <w:kern w:val="0"/>
                <w:sz w:val="32"/>
                <w:szCs w:val="32"/>
                <w:lang w:eastAsia="zh-CN"/>
              </w:rPr>
            </w:pPr>
            <w:r>
              <w:rPr>
                <w:rFonts w:hint="eastAsia" w:ascii="仿宋" w:hAnsi="仿宋" w:eastAsia="仿宋" w:cs="仿宋"/>
                <w:b/>
                <w:bCs/>
                <w:kern w:val="0"/>
                <w:sz w:val="32"/>
                <w:szCs w:val="32"/>
                <w:lang w:eastAsia="zh-CN"/>
              </w:rPr>
              <w:t>申报</w:t>
            </w:r>
          </w:p>
          <w:p w14:paraId="25FF2246">
            <w:pPr>
              <w:keepNext w:val="0"/>
              <w:keepLines w:val="0"/>
              <w:pageBreakBefore w:val="0"/>
              <w:widowControl/>
              <w:kinsoku/>
              <w:wordWrap/>
              <w:overflowPunct/>
              <w:topLinePunct w:val="0"/>
              <w:autoSpaceDE/>
              <w:autoSpaceDN/>
              <w:bidi w:val="0"/>
              <w:adjustRightInd/>
              <w:snapToGrid/>
              <w:spacing w:line="460" w:lineRule="exact"/>
              <w:jc w:val="center"/>
              <w:rPr>
                <w:rFonts w:hint="eastAsia" w:ascii="仿宋" w:hAnsi="仿宋" w:eastAsia="仿宋" w:cs="仿宋"/>
                <w:b/>
                <w:bCs/>
                <w:kern w:val="0"/>
                <w:sz w:val="32"/>
                <w:szCs w:val="32"/>
                <w:lang w:eastAsia="zh-CN"/>
              </w:rPr>
            </w:pPr>
            <w:r>
              <w:rPr>
                <w:rFonts w:hint="eastAsia" w:ascii="仿宋" w:hAnsi="仿宋" w:eastAsia="仿宋" w:cs="仿宋"/>
                <w:b/>
                <w:bCs/>
                <w:kern w:val="0"/>
                <w:sz w:val="32"/>
                <w:szCs w:val="32"/>
                <w:lang w:eastAsia="zh-CN"/>
              </w:rPr>
              <w:t>类别</w:t>
            </w:r>
          </w:p>
        </w:tc>
        <w:tc>
          <w:tcPr>
            <w:tcW w:w="5181" w:type="dxa"/>
            <w:tcBorders>
              <w:top w:val="single" w:color="auto" w:sz="4" w:space="0"/>
              <w:left w:val="single" w:color="auto" w:sz="4" w:space="0"/>
              <w:bottom w:val="single" w:color="auto" w:sz="4" w:space="0"/>
              <w:right w:val="single" w:color="auto" w:sz="4" w:space="0"/>
            </w:tcBorders>
            <w:noWrap w:val="0"/>
            <w:vAlign w:val="center"/>
          </w:tcPr>
          <w:p w14:paraId="2218BB3F">
            <w:pPr>
              <w:keepNext w:val="0"/>
              <w:keepLines w:val="0"/>
              <w:pageBreakBefore w:val="0"/>
              <w:widowControl/>
              <w:kinsoku/>
              <w:wordWrap/>
              <w:overflowPunct/>
              <w:topLinePunct w:val="0"/>
              <w:autoSpaceDE/>
              <w:autoSpaceDN/>
              <w:bidi w:val="0"/>
              <w:adjustRightInd/>
              <w:snapToGrid/>
              <w:spacing w:line="460" w:lineRule="exact"/>
              <w:jc w:val="center"/>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 xml:space="preserve">课 题 </w:t>
            </w:r>
            <w:r>
              <w:rPr>
                <w:rFonts w:hint="eastAsia" w:ascii="仿宋" w:hAnsi="仿宋" w:eastAsia="仿宋" w:cs="仿宋"/>
                <w:b/>
                <w:bCs/>
                <w:kern w:val="0"/>
                <w:sz w:val="32"/>
                <w:szCs w:val="32"/>
              </w:rPr>
              <w:t>名 称</w:t>
            </w:r>
          </w:p>
        </w:tc>
      </w:tr>
      <w:tr w14:paraId="17D20338">
        <w:tblPrEx>
          <w:tblCellMar>
            <w:top w:w="0" w:type="dxa"/>
            <w:left w:w="108" w:type="dxa"/>
            <w:bottom w:w="0" w:type="dxa"/>
            <w:right w:w="108" w:type="dxa"/>
          </w:tblCellMar>
        </w:tblPrEx>
        <w:trPr>
          <w:trHeight w:val="1241"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667232D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1</w:t>
            </w:r>
          </w:p>
        </w:tc>
        <w:tc>
          <w:tcPr>
            <w:tcW w:w="1292" w:type="dxa"/>
            <w:tcBorders>
              <w:top w:val="single" w:color="auto" w:sz="4" w:space="0"/>
              <w:left w:val="nil"/>
              <w:bottom w:val="single" w:color="auto" w:sz="4" w:space="0"/>
              <w:right w:val="single" w:color="auto" w:sz="4" w:space="0"/>
            </w:tcBorders>
            <w:noWrap w:val="0"/>
            <w:vAlign w:val="center"/>
          </w:tcPr>
          <w:p w14:paraId="6DE4CB3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连昆</w:t>
            </w:r>
          </w:p>
        </w:tc>
        <w:tc>
          <w:tcPr>
            <w:tcW w:w="1243" w:type="dxa"/>
            <w:tcBorders>
              <w:top w:val="single" w:color="auto" w:sz="4" w:space="0"/>
              <w:left w:val="nil"/>
              <w:bottom w:val="single" w:color="auto" w:sz="4" w:space="0"/>
              <w:right w:val="single" w:color="auto" w:sz="4" w:space="0"/>
            </w:tcBorders>
            <w:noWrap w:val="0"/>
            <w:vAlign w:val="center"/>
          </w:tcPr>
          <w:p w14:paraId="12AFE8E2">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一般资助青年项目</w:t>
            </w:r>
          </w:p>
        </w:tc>
        <w:tc>
          <w:tcPr>
            <w:tcW w:w="5181" w:type="dxa"/>
            <w:tcBorders>
              <w:top w:val="single" w:color="auto" w:sz="4" w:space="0"/>
              <w:left w:val="nil"/>
              <w:bottom w:val="single" w:color="auto" w:sz="4" w:space="0"/>
              <w:right w:val="single" w:color="auto" w:sz="4" w:space="0"/>
            </w:tcBorders>
            <w:shd w:val="clear" w:color="auto" w:fill="auto"/>
            <w:noWrap w:val="0"/>
            <w:vAlign w:val="center"/>
          </w:tcPr>
          <w:p w14:paraId="1EBBEF7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“人工智能+”视域下高校思政课教师智能素养的“三维赋能”提升机制研究</w:t>
            </w:r>
          </w:p>
        </w:tc>
      </w:tr>
      <w:tr w14:paraId="458FD965">
        <w:tblPrEx>
          <w:tblCellMar>
            <w:top w:w="0" w:type="dxa"/>
            <w:left w:w="108" w:type="dxa"/>
            <w:bottom w:w="0" w:type="dxa"/>
            <w:right w:w="108" w:type="dxa"/>
          </w:tblCellMar>
        </w:tblPrEx>
        <w:trPr>
          <w:trHeight w:val="1516"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53534EA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2</w:t>
            </w:r>
          </w:p>
        </w:tc>
        <w:tc>
          <w:tcPr>
            <w:tcW w:w="1292" w:type="dxa"/>
            <w:tcBorders>
              <w:top w:val="single" w:color="auto" w:sz="4" w:space="0"/>
              <w:left w:val="nil"/>
              <w:bottom w:val="single" w:color="auto" w:sz="4" w:space="0"/>
              <w:right w:val="single" w:color="auto" w:sz="4" w:space="0"/>
            </w:tcBorders>
            <w:noWrap w:val="0"/>
            <w:vAlign w:val="center"/>
          </w:tcPr>
          <w:p w14:paraId="76D3388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吴玉涵</w:t>
            </w:r>
          </w:p>
        </w:tc>
        <w:tc>
          <w:tcPr>
            <w:tcW w:w="1243" w:type="dxa"/>
            <w:tcBorders>
              <w:top w:val="single" w:color="auto" w:sz="4" w:space="0"/>
              <w:left w:val="nil"/>
              <w:bottom w:val="single" w:color="auto" w:sz="4" w:space="0"/>
              <w:right w:val="single" w:color="auto" w:sz="4" w:space="0"/>
            </w:tcBorders>
            <w:noWrap w:val="0"/>
            <w:vAlign w:val="center"/>
          </w:tcPr>
          <w:p w14:paraId="5C9E0B0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一般资助青年项目</w:t>
            </w:r>
          </w:p>
        </w:tc>
        <w:tc>
          <w:tcPr>
            <w:tcW w:w="5181" w:type="dxa"/>
            <w:tcBorders>
              <w:top w:val="single" w:color="auto" w:sz="4" w:space="0"/>
              <w:left w:val="nil"/>
              <w:bottom w:val="single" w:color="auto" w:sz="4" w:space="0"/>
              <w:right w:val="single" w:color="auto" w:sz="4" w:space="0"/>
            </w:tcBorders>
            <w:noWrap w:val="0"/>
            <w:vAlign w:val="center"/>
          </w:tcPr>
          <w:p w14:paraId="6D697A6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人工智能时代教育领域文化安全风险识别与治理研究</w:t>
            </w:r>
          </w:p>
        </w:tc>
      </w:tr>
      <w:tr w14:paraId="3666A750">
        <w:tblPrEx>
          <w:tblCellMar>
            <w:top w:w="0" w:type="dxa"/>
            <w:left w:w="108" w:type="dxa"/>
            <w:bottom w:w="0" w:type="dxa"/>
            <w:right w:w="108" w:type="dxa"/>
          </w:tblCellMar>
        </w:tblPrEx>
        <w:trPr>
          <w:trHeight w:val="1246"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64A66A6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3</w:t>
            </w:r>
          </w:p>
        </w:tc>
        <w:tc>
          <w:tcPr>
            <w:tcW w:w="1292" w:type="dxa"/>
            <w:tcBorders>
              <w:top w:val="single" w:color="auto" w:sz="4" w:space="0"/>
              <w:left w:val="nil"/>
              <w:bottom w:val="single" w:color="auto" w:sz="4" w:space="0"/>
              <w:right w:val="single" w:color="auto" w:sz="4" w:space="0"/>
            </w:tcBorders>
            <w:noWrap w:val="0"/>
            <w:vAlign w:val="center"/>
          </w:tcPr>
          <w:p w14:paraId="63E3B85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王军峰</w:t>
            </w:r>
          </w:p>
        </w:tc>
        <w:tc>
          <w:tcPr>
            <w:tcW w:w="1243" w:type="dxa"/>
            <w:tcBorders>
              <w:top w:val="single" w:color="auto" w:sz="4" w:space="0"/>
              <w:left w:val="nil"/>
              <w:bottom w:val="single" w:color="auto" w:sz="4" w:space="0"/>
              <w:right w:val="single" w:color="auto" w:sz="4" w:space="0"/>
            </w:tcBorders>
            <w:noWrap w:val="0"/>
            <w:vAlign w:val="center"/>
          </w:tcPr>
          <w:p w14:paraId="301B0A2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一般</w:t>
            </w:r>
          </w:p>
          <w:p w14:paraId="5C34588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资助</w:t>
            </w:r>
          </w:p>
        </w:tc>
        <w:tc>
          <w:tcPr>
            <w:tcW w:w="5181" w:type="dxa"/>
            <w:tcBorders>
              <w:top w:val="single" w:color="auto" w:sz="4" w:space="0"/>
              <w:left w:val="nil"/>
              <w:bottom w:val="single" w:color="auto" w:sz="4" w:space="0"/>
              <w:right w:val="single" w:color="auto" w:sz="4" w:space="0"/>
            </w:tcBorders>
            <w:shd w:val="clear" w:color="auto" w:fill="auto"/>
            <w:noWrap w:val="0"/>
            <w:vAlign w:val="center"/>
          </w:tcPr>
          <w:p w14:paraId="2E237D2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数字画像视域下高职院校思政课教师理论素养提升研究</w:t>
            </w:r>
          </w:p>
        </w:tc>
      </w:tr>
      <w:tr w14:paraId="4DE56CFF">
        <w:tblPrEx>
          <w:tblCellMar>
            <w:top w:w="0" w:type="dxa"/>
            <w:left w:w="108" w:type="dxa"/>
            <w:bottom w:w="0" w:type="dxa"/>
            <w:right w:w="108" w:type="dxa"/>
          </w:tblCellMar>
        </w:tblPrEx>
        <w:trPr>
          <w:trHeight w:val="1246"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1B822A8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4</w:t>
            </w:r>
          </w:p>
        </w:tc>
        <w:tc>
          <w:tcPr>
            <w:tcW w:w="1292" w:type="dxa"/>
            <w:tcBorders>
              <w:top w:val="single" w:color="auto" w:sz="4" w:space="0"/>
              <w:left w:val="nil"/>
              <w:bottom w:val="single" w:color="auto" w:sz="4" w:space="0"/>
              <w:right w:val="single" w:color="auto" w:sz="4" w:space="0"/>
            </w:tcBorders>
            <w:noWrap w:val="0"/>
            <w:vAlign w:val="center"/>
          </w:tcPr>
          <w:p w14:paraId="1B46620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曾欢</w:t>
            </w:r>
          </w:p>
        </w:tc>
        <w:tc>
          <w:tcPr>
            <w:tcW w:w="1243" w:type="dxa"/>
            <w:tcBorders>
              <w:top w:val="single" w:color="auto" w:sz="4" w:space="0"/>
              <w:left w:val="nil"/>
              <w:bottom w:val="single" w:color="auto" w:sz="4" w:space="0"/>
              <w:right w:val="single" w:color="auto" w:sz="4" w:space="0"/>
            </w:tcBorders>
            <w:noWrap w:val="0"/>
            <w:vAlign w:val="center"/>
          </w:tcPr>
          <w:p w14:paraId="6B5A471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一般</w:t>
            </w:r>
          </w:p>
          <w:p w14:paraId="10A0FB5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资助</w:t>
            </w:r>
          </w:p>
        </w:tc>
        <w:tc>
          <w:tcPr>
            <w:tcW w:w="5181" w:type="dxa"/>
            <w:tcBorders>
              <w:top w:val="single" w:color="auto" w:sz="4" w:space="0"/>
              <w:left w:val="nil"/>
              <w:bottom w:val="single" w:color="auto" w:sz="4" w:space="0"/>
              <w:right w:val="single" w:color="auto" w:sz="4" w:space="0"/>
            </w:tcBorders>
            <w:shd w:val="clear" w:color="auto" w:fill="auto"/>
            <w:noWrap w:val="0"/>
            <w:vAlign w:val="center"/>
          </w:tcPr>
          <w:p w14:paraId="622C516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产教融合视域下高职城市更新课程“虚实结合+互动现场”数字云教材建设研究</w:t>
            </w:r>
          </w:p>
        </w:tc>
      </w:tr>
      <w:tr w14:paraId="2193F1C6">
        <w:tblPrEx>
          <w:tblCellMar>
            <w:top w:w="0" w:type="dxa"/>
            <w:left w:w="108" w:type="dxa"/>
            <w:bottom w:w="0" w:type="dxa"/>
            <w:right w:w="108" w:type="dxa"/>
          </w:tblCellMar>
        </w:tblPrEx>
        <w:trPr>
          <w:trHeight w:val="1246"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7C1C055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5</w:t>
            </w:r>
          </w:p>
        </w:tc>
        <w:tc>
          <w:tcPr>
            <w:tcW w:w="1292" w:type="dxa"/>
            <w:tcBorders>
              <w:top w:val="single" w:color="auto" w:sz="4" w:space="0"/>
              <w:left w:val="nil"/>
              <w:bottom w:val="single" w:color="auto" w:sz="4" w:space="0"/>
              <w:right w:val="single" w:color="auto" w:sz="4" w:space="0"/>
            </w:tcBorders>
            <w:noWrap w:val="0"/>
            <w:vAlign w:val="center"/>
          </w:tcPr>
          <w:p w14:paraId="2343F00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冯建新</w:t>
            </w:r>
          </w:p>
        </w:tc>
        <w:tc>
          <w:tcPr>
            <w:tcW w:w="1243" w:type="dxa"/>
            <w:tcBorders>
              <w:top w:val="single" w:color="auto" w:sz="4" w:space="0"/>
              <w:left w:val="nil"/>
              <w:bottom w:val="single" w:color="auto" w:sz="4" w:space="0"/>
              <w:right w:val="single" w:color="auto" w:sz="4" w:space="0"/>
            </w:tcBorders>
            <w:shd w:val="clear" w:color="auto" w:fill="auto"/>
            <w:noWrap w:val="0"/>
            <w:vAlign w:val="center"/>
          </w:tcPr>
          <w:p w14:paraId="09526B4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一般</w:t>
            </w:r>
          </w:p>
          <w:p w14:paraId="3DF1199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资助青年项目</w:t>
            </w:r>
          </w:p>
        </w:tc>
        <w:tc>
          <w:tcPr>
            <w:tcW w:w="5181" w:type="dxa"/>
            <w:tcBorders>
              <w:top w:val="single" w:color="auto" w:sz="4" w:space="0"/>
              <w:left w:val="nil"/>
              <w:bottom w:val="single" w:color="auto" w:sz="4" w:space="0"/>
              <w:right w:val="single" w:color="auto" w:sz="4" w:space="0"/>
            </w:tcBorders>
            <w:shd w:val="clear" w:color="auto" w:fill="auto"/>
            <w:noWrap w:val="0"/>
            <w:vAlign w:val="center"/>
          </w:tcPr>
          <w:p w14:paraId="09B1508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数字经济发展对高职学生就业质量的影响及提升路径研究</w:t>
            </w:r>
          </w:p>
        </w:tc>
      </w:tr>
      <w:tr w14:paraId="4D8821D9">
        <w:tblPrEx>
          <w:tblCellMar>
            <w:top w:w="0" w:type="dxa"/>
            <w:left w:w="108" w:type="dxa"/>
            <w:bottom w:w="0" w:type="dxa"/>
            <w:right w:w="108" w:type="dxa"/>
          </w:tblCellMar>
        </w:tblPrEx>
        <w:trPr>
          <w:trHeight w:val="1246"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1D7E2DE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6</w:t>
            </w:r>
          </w:p>
        </w:tc>
        <w:tc>
          <w:tcPr>
            <w:tcW w:w="1292" w:type="dxa"/>
            <w:tcBorders>
              <w:top w:val="single" w:color="auto" w:sz="4" w:space="0"/>
              <w:left w:val="nil"/>
              <w:bottom w:val="single" w:color="auto" w:sz="4" w:space="0"/>
              <w:right w:val="single" w:color="auto" w:sz="4" w:space="0"/>
            </w:tcBorders>
            <w:noWrap w:val="0"/>
            <w:vAlign w:val="center"/>
          </w:tcPr>
          <w:p w14:paraId="5A15113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刘省红</w:t>
            </w:r>
          </w:p>
        </w:tc>
        <w:tc>
          <w:tcPr>
            <w:tcW w:w="1243" w:type="dxa"/>
            <w:tcBorders>
              <w:top w:val="single" w:color="auto" w:sz="4" w:space="0"/>
              <w:left w:val="nil"/>
              <w:bottom w:val="single" w:color="auto" w:sz="4" w:space="0"/>
              <w:right w:val="single" w:color="auto" w:sz="4" w:space="0"/>
            </w:tcBorders>
            <w:shd w:val="clear" w:color="auto" w:fill="auto"/>
            <w:noWrap w:val="0"/>
            <w:vAlign w:val="center"/>
          </w:tcPr>
          <w:p w14:paraId="1D22268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一般自筹</w:t>
            </w:r>
          </w:p>
        </w:tc>
        <w:tc>
          <w:tcPr>
            <w:tcW w:w="5181" w:type="dxa"/>
            <w:tcBorders>
              <w:top w:val="single" w:color="auto" w:sz="4" w:space="0"/>
              <w:left w:val="nil"/>
              <w:bottom w:val="single" w:color="auto" w:sz="4" w:space="0"/>
              <w:right w:val="single" w:color="auto" w:sz="4" w:space="0"/>
            </w:tcBorders>
            <w:shd w:val="clear" w:color="auto" w:fill="auto"/>
            <w:noWrap w:val="0"/>
            <w:vAlign w:val="center"/>
          </w:tcPr>
          <w:p w14:paraId="02D7521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技能型社会背景下AI赋能湖南省高职院校新农人培育模式研究</w:t>
            </w:r>
          </w:p>
        </w:tc>
      </w:tr>
      <w:tr w14:paraId="53CC712E">
        <w:tblPrEx>
          <w:tblCellMar>
            <w:top w:w="0" w:type="dxa"/>
            <w:left w:w="108" w:type="dxa"/>
            <w:bottom w:w="0" w:type="dxa"/>
            <w:right w:w="108" w:type="dxa"/>
          </w:tblCellMar>
        </w:tblPrEx>
        <w:trPr>
          <w:trHeight w:val="1246"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0784D8F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7</w:t>
            </w:r>
          </w:p>
        </w:tc>
        <w:tc>
          <w:tcPr>
            <w:tcW w:w="1292" w:type="dxa"/>
            <w:tcBorders>
              <w:top w:val="single" w:color="auto" w:sz="4" w:space="0"/>
              <w:left w:val="nil"/>
              <w:bottom w:val="single" w:color="auto" w:sz="4" w:space="0"/>
              <w:right w:val="single" w:color="auto" w:sz="4" w:space="0"/>
            </w:tcBorders>
            <w:noWrap w:val="0"/>
            <w:vAlign w:val="center"/>
          </w:tcPr>
          <w:p w14:paraId="79423CB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曾晨曦</w:t>
            </w:r>
          </w:p>
        </w:tc>
        <w:tc>
          <w:tcPr>
            <w:tcW w:w="1243" w:type="dxa"/>
            <w:tcBorders>
              <w:top w:val="single" w:color="auto" w:sz="4" w:space="0"/>
              <w:left w:val="nil"/>
              <w:bottom w:val="single" w:color="auto" w:sz="4" w:space="0"/>
              <w:right w:val="single" w:color="auto" w:sz="4" w:space="0"/>
            </w:tcBorders>
            <w:shd w:val="clear" w:color="auto" w:fill="auto"/>
            <w:noWrap w:val="0"/>
            <w:vAlign w:val="center"/>
          </w:tcPr>
          <w:p w14:paraId="6E90CD1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一般自筹</w:t>
            </w:r>
          </w:p>
        </w:tc>
        <w:tc>
          <w:tcPr>
            <w:tcW w:w="5181" w:type="dxa"/>
            <w:tcBorders>
              <w:top w:val="single" w:color="auto" w:sz="4" w:space="0"/>
              <w:left w:val="nil"/>
              <w:bottom w:val="single" w:color="auto" w:sz="4" w:space="0"/>
              <w:right w:val="single" w:color="auto" w:sz="4" w:space="0"/>
            </w:tcBorders>
            <w:shd w:val="clear" w:color="auto" w:fill="auto"/>
            <w:noWrap w:val="0"/>
            <w:vAlign w:val="center"/>
          </w:tcPr>
          <w:p w14:paraId="17FD23B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生成式AI驱动高职计算机应用技术专业产教融合课程体系重构研究</w:t>
            </w:r>
          </w:p>
        </w:tc>
      </w:tr>
      <w:tr w14:paraId="60B3A78B">
        <w:tblPrEx>
          <w:tblCellMar>
            <w:top w:w="0" w:type="dxa"/>
            <w:left w:w="108" w:type="dxa"/>
            <w:bottom w:w="0" w:type="dxa"/>
            <w:right w:w="108" w:type="dxa"/>
          </w:tblCellMar>
        </w:tblPrEx>
        <w:trPr>
          <w:trHeight w:val="1246"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31947CF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8</w:t>
            </w:r>
          </w:p>
        </w:tc>
        <w:tc>
          <w:tcPr>
            <w:tcW w:w="1292" w:type="dxa"/>
            <w:tcBorders>
              <w:top w:val="single" w:color="auto" w:sz="4" w:space="0"/>
              <w:left w:val="nil"/>
              <w:bottom w:val="single" w:color="auto" w:sz="4" w:space="0"/>
              <w:right w:val="single" w:color="auto" w:sz="4" w:space="0"/>
            </w:tcBorders>
            <w:noWrap w:val="0"/>
            <w:vAlign w:val="center"/>
          </w:tcPr>
          <w:p w14:paraId="6002C38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杜高峰</w:t>
            </w:r>
          </w:p>
        </w:tc>
        <w:tc>
          <w:tcPr>
            <w:tcW w:w="1243" w:type="dxa"/>
            <w:tcBorders>
              <w:top w:val="single" w:color="auto" w:sz="4" w:space="0"/>
              <w:left w:val="nil"/>
              <w:bottom w:val="single" w:color="auto" w:sz="4" w:space="0"/>
              <w:right w:val="single" w:color="auto" w:sz="4" w:space="0"/>
            </w:tcBorders>
            <w:shd w:val="clear" w:color="auto" w:fill="auto"/>
            <w:noWrap w:val="0"/>
            <w:vAlign w:val="center"/>
          </w:tcPr>
          <w:p w14:paraId="7456B0F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i w:val="0"/>
                <w:iCs w:val="0"/>
                <w:color w:val="000000"/>
                <w:kern w:val="2"/>
                <w:sz w:val="32"/>
                <w:szCs w:val="32"/>
                <w:u w:val="none"/>
                <w:lang w:val="en-US" w:eastAsia="zh-CN" w:bidi="ar-SA"/>
              </w:rPr>
            </w:pPr>
            <w:bookmarkStart w:id="0" w:name="_GoBack"/>
            <w:bookmarkEnd w:id="0"/>
            <w:r>
              <w:rPr>
                <w:rFonts w:hint="eastAsia" w:ascii="仿宋" w:hAnsi="仿宋" w:eastAsia="仿宋" w:cs="仿宋"/>
                <w:i w:val="0"/>
                <w:iCs w:val="0"/>
                <w:color w:val="000000"/>
                <w:kern w:val="2"/>
                <w:sz w:val="32"/>
                <w:szCs w:val="32"/>
                <w:u w:val="none"/>
                <w:lang w:val="en-US" w:eastAsia="zh-CN" w:bidi="ar-SA"/>
              </w:rPr>
              <w:t>奖励项目</w:t>
            </w:r>
          </w:p>
        </w:tc>
        <w:tc>
          <w:tcPr>
            <w:tcW w:w="5181" w:type="dxa"/>
            <w:tcBorders>
              <w:top w:val="single" w:color="auto" w:sz="4" w:space="0"/>
              <w:left w:val="nil"/>
              <w:bottom w:val="single" w:color="auto" w:sz="4" w:space="0"/>
              <w:right w:val="single" w:color="auto" w:sz="4" w:space="0"/>
            </w:tcBorders>
            <w:shd w:val="clear" w:color="auto" w:fill="auto"/>
            <w:noWrap w:val="0"/>
            <w:vAlign w:val="center"/>
          </w:tcPr>
          <w:p w14:paraId="6B3BD29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人工智能赋能矿区生态修复特色职业院校“三维空间”协同育人模式研究</w:t>
            </w:r>
          </w:p>
        </w:tc>
      </w:tr>
    </w:tbl>
    <w:p w14:paraId="1A06FBF8">
      <w:pPr>
        <w:rPr>
          <w:rFonts w:hint="eastAsia" w:ascii="华文仿宋" w:hAnsi="华文仿宋" w:eastAsia="华文仿宋" w:cs="华文仿宋"/>
          <w:sz w:val="32"/>
          <w:szCs w:val="32"/>
        </w:rPr>
      </w:pPr>
      <w:r>
        <w:rPr>
          <w:rFonts w:hint="eastAsia" w:ascii="华文仿宋" w:hAnsi="华文仿宋" w:eastAsia="华文仿宋" w:cs="华文仿宋"/>
          <w:sz w:val="32"/>
          <w:szCs w:val="32"/>
        </w:rPr>
        <w:br w:type="page"/>
      </w:r>
    </w:p>
    <w:p w14:paraId="2AA285A2">
      <w:pPr>
        <w:keepNext w:val="0"/>
        <w:keepLines w:val="0"/>
        <w:pageBreakBefore w:val="0"/>
        <w:widowControl w:val="0"/>
        <w:kinsoku/>
        <w:wordWrap/>
        <w:overflowPunct/>
        <w:topLinePunct w:val="0"/>
        <w:autoSpaceDE/>
        <w:autoSpaceDN/>
        <w:bidi w:val="0"/>
        <w:adjustRightInd/>
        <w:snapToGrid/>
        <w:spacing w:line="460" w:lineRule="exact"/>
        <w:ind w:right="28"/>
        <w:jc w:val="center"/>
        <w:textAlignment w:val="auto"/>
        <w:rPr>
          <w:rFonts w:hint="eastAsia" w:ascii="仿宋_GB2312" w:hAnsi="仿宋_GB2312" w:eastAsia="仿宋_GB2312" w:cs="仿宋_GB2312"/>
          <w:b/>
          <w:sz w:val="32"/>
          <w:szCs w:val="32"/>
        </w:rPr>
      </w:pPr>
    </w:p>
    <w:p w14:paraId="1C49FDB2">
      <w:pPr>
        <w:keepNext w:val="0"/>
        <w:keepLines w:val="0"/>
        <w:pageBreakBefore w:val="0"/>
        <w:widowControl w:val="0"/>
        <w:kinsoku/>
        <w:wordWrap/>
        <w:overflowPunct/>
        <w:topLinePunct w:val="0"/>
        <w:autoSpaceDE/>
        <w:autoSpaceDN/>
        <w:bidi w:val="0"/>
        <w:adjustRightInd/>
        <w:snapToGrid/>
        <w:spacing w:line="460" w:lineRule="exact"/>
        <w:ind w:right="28"/>
        <w:jc w:val="center"/>
        <w:textAlignment w:val="auto"/>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rPr>
        <w:t>湖南工程职业技术学院湖南省教育科学</w:t>
      </w:r>
      <w:r>
        <w:rPr>
          <w:rFonts w:hint="eastAsia" w:ascii="仿宋_GB2312" w:hAnsi="仿宋_GB2312" w:eastAsia="仿宋_GB2312" w:cs="仿宋_GB2312"/>
          <w:b/>
          <w:sz w:val="32"/>
          <w:szCs w:val="32"/>
          <w:lang w:eastAsia="zh-CN"/>
        </w:rPr>
        <w:t>“十</w:t>
      </w:r>
      <w:r>
        <w:rPr>
          <w:rFonts w:hint="eastAsia" w:ascii="仿宋_GB2312" w:hAnsi="仿宋_GB2312" w:eastAsia="仿宋_GB2312" w:cs="仿宋_GB2312"/>
          <w:b/>
          <w:sz w:val="32"/>
          <w:szCs w:val="32"/>
          <w:lang w:val="en-US" w:eastAsia="zh-CN"/>
        </w:rPr>
        <w:t>五</w:t>
      </w:r>
      <w:r>
        <w:rPr>
          <w:rFonts w:hint="eastAsia" w:ascii="仿宋_GB2312" w:hAnsi="仿宋_GB2312" w:eastAsia="仿宋_GB2312" w:cs="仿宋_GB2312"/>
          <w:b/>
          <w:sz w:val="32"/>
          <w:szCs w:val="32"/>
          <w:lang w:eastAsia="zh-CN"/>
        </w:rPr>
        <w:t>五”规划</w:t>
      </w:r>
    </w:p>
    <w:p w14:paraId="5FD4DB7F">
      <w:pPr>
        <w:keepNext w:val="0"/>
        <w:keepLines w:val="0"/>
        <w:pageBreakBefore w:val="0"/>
        <w:widowControl w:val="0"/>
        <w:kinsoku/>
        <w:wordWrap/>
        <w:overflowPunct/>
        <w:topLinePunct w:val="0"/>
        <w:autoSpaceDE/>
        <w:autoSpaceDN/>
        <w:bidi w:val="0"/>
        <w:adjustRightInd/>
        <w:snapToGrid/>
        <w:spacing w:after="157" w:afterLines="50" w:line="460" w:lineRule="exact"/>
        <w:ind w:right="28"/>
        <w:jc w:val="center"/>
        <w:textAlignment w:val="auto"/>
        <w:rPr>
          <w:rFonts w:hint="default" w:ascii="宋体" w:hAnsi="宋体" w:eastAsia="仿宋_GB2312" w:cs="Times New Roman"/>
          <w:b/>
          <w:sz w:val="32"/>
          <w:szCs w:val="32"/>
          <w:lang w:val="en-US" w:eastAsia="zh-CN"/>
        </w:rPr>
      </w:pPr>
      <w:r>
        <w:rPr>
          <w:rFonts w:hint="eastAsia" w:ascii="仿宋_GB2312" w:hAnsi="仿宋_GB2312" w:eastAsia="仿宋_GB2312" w:cs="仿宋_GB2312"/>
          <w:b/>
          <w:sz w:val="32"/>
          <w:szCs w:val="32"/>
          <w:lang w:val="en-US" w:eastAsia="zh-CN"/>
        </w:rPr>
        <w:t>2026年度教育学专项</w:t>
      </w:r>
      <w:r>
        <w:rPr>
          <w:rFonts w:hint="eastAsia" w:ascii="仿宋_GB2312" w:hAnsi="仿宋_GB2312" w:eastAsia="仿宋_GB2312" w:cs="仿宋_GB2312"/>
          <w:b/>
          <w:sz w:val="32"/>
          <w:szCs w:val="32"/>
          <w:lang w:eastAsia="zh-CN"/>
        </w:rPr>
        <w:t>课题</w:t>
      </w:r>
      <w:r>
        <w:rPr>
          <w:rFonts w:hint="eastAsia" w:ascii="仿宋_GB2312" w:hAnsi="仿宋_GB2312" w:eastAsia="仿宋_GB2312" w:cs="仿宋_GB2312"/>
          <w:b/>
          <w:sz w:val="32"/>
          <w:szCs w:val="32"/>
          <w:lang w:val="en-US" w:eastAsia="zh-CN"/>
        </w:rPr>
        <w:t>拟</w:t>
      </w:r>
      <w:r>
        <w:rPr>
          <w:rFonts w:hint="eastAsia" w:ascii="仿宋_GB2312" w:hAnsi="仿宋_GB2312" w:eastAsia="仿宋_GB2312" w:cs="仿宋_GB2312"/>
          <w:b/>
          <w:sz w:val="32"/>
          <w:szCs w:val="32"/>
        </w:rPr>
        <w:t>推荐名单</w:t>
      </w:r>
    </w:p>
    <w:tbl>
      <w:tblPr>
        <w:tblStyle w:val="2"/>
        <w:tblW w:w="8586" w:type="dxa"/>
        <w:jc w:val="center"/>
        <w:tblLayout w:type="autofit"/>
        <w:tblCellMar>
          <w:top w:w="0" w:type="dxa"/>
          <w:left w:w="108" w:type="dxa"/>
          <w:bottom w:w="0" w:type="dxa"/>
          <w:right w:w="108" w:type="dxa"/>
        </w:tblCellMar>
      </w:tblPr>
      <w:tblGrid>
        <w:gridCol w:w="870"/>
        <w:gridCol w:w="1292"/>
        <w:gridCol w:w="1243"/>
        <w:gridCol w:w="5181"/>
      </w:tblGrid>
      <w:tr w14:paraId="3625DDA6">
        <w:trPr>
          <w:trHeight w:val="1013"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2C8A6D42">
            <w:pPr>
              <w:keepNext w:val="0"/>
              <w:keepLines w:val="0"/>
              <w:pageBreakBefore w:val="0"/>
              <w:widowControl/>
              <w:kinsoku/>
              <w:wordWrap/>
              <w:overflowPunct/>
              <w:topLinePunct w:val="0"/>
              <w:autoSpaceDE/>
              <w:autoSpaceDN/>
              <w:bidi w:val="0"/>
              <w:adjustRightInd/>
              <w:snapToGrid/>
              <w:spacing w:line="380" w:lineRule="exact"/>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序号</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4466A3BC">
            <w:pPr>
              <w:keepNext w:val="0"/>
              <w:keepLines w:val="0"/>
              <w:pageBreakBefore w:val="0"/>
              <w:widowControl/>
              <w:kinsoku/>
              <w:wordWrap/>
              <w:overflowPunct/>
              <w:topLinePunct w:val="0"/>
              <w:autoSpaceDE/>
              <w:autoSpaceDN/>
              <w:bidi w:val="0"/>
              <w:adjustRightInd/>
              <w:snapToGrid/>
              <w:spacing w:line="380" w:lineRule="exact"/>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姓名</w:t>
            </w:r>
          </w:p>
        </w:tc>
        <w:tc>
          <w:tcPr>
            <w:tcW w:w="1243" w:type="dxa"/>
            <w:tcBorders>
              <w:top w:val="single" w:color="auto" w:sz="4" w:space="0"/>
              <w:left w:val="single" w:color="auto" w:sz="4" w:space="0"/>
              <w:bottom w:val="single" w:color="auto" w:sz="4" w:space="0"/>
              <w:right w:val="single" w:color="auto" w:sz="4" w:space="0"/>
            </w:tcBorders>
            <w:noWrap w:val="0"/>
            <w:vAlign w:val="center"/>
          </w:tcPr>
          <w:p w14:paraId="5765536F">
            <w:pPr>
              <w:keepNext w:val="0"/>
              <w:keepLines w:val="0"/>
              <w:pageBreakBefore w:val="0"/>
              <w:widowControl/>
              <w:kinsoku/>
              <w:wordWrap/>
              <w:overflowPunct/>
              <w:topLinePunct w:val="0"/>
              <w:autoSpaceDE/>
              <w:autoSpaceDN/>
              <w:bidi w:val="0"/>
              <w:adjustRightInd/>
              <w:snapToGrid/>
              <w:spacing w:line="380" w:lineRule="exact"/>
              <w:jc w:val="center"/>
              <w:rPr>
                <w:rFonts w:hint="eastAsia" w:ascii="仿宋" w:hAnsi="仿宋" w:eastAsia="仿宋" w:cs="仿宋"/>
                <w:b/>
                <w:bCs/>
                <w:kern w:val="0"/>
                <w:sz w:val="32"/>
                <w:szCs w:val="32"/>
                <w:lang w:eastAsia="zh-CN"/>
              </w:rPr>
            </w:pPr>
            <w:r>
              <w:rPr>
                <w:rFonts w:hint="eastAsia" w:ascii="仿宋" w:hAnsi="仿宋" w:eastAsia="仿宋" w:cs="仿宋"/>
                <w:b/>
                <w:bCs/>
                <w:kern w:val="0"/>
                <w:sz w:val="32"/>
                <w:szCs w:val="32"/>
                <w:lang w:eastAsia="zh-CN"/>
              </w:rPr>
              <w:t>申报</w:t>
            </w:r>
          </w:p>
          <w:p w14:paraId="704EEE8B">
            <w:pPr>
              <w:keepNext w:val="0"/>
              <w:keepLines w:val="0"/>
              <w:pageBreakBefore w:val="0"/>
              <w:widowControl/>
              <w:kinsoku/>
              <w:wordWrap/>
              <w:overflowPunct/>
              <w:topLinePunct w:val="0"/>
              <w:autoSpaceDE/>
              <w:autoSpaceDN/>
              <w:bidi w:val="0"/>
              <w:adjustRightInd/>
              <w:snapToGrid/>
              <w:spacing w:line="380" w:lineRule="exact"/>
              <w:jc w:val="center"/>
              <w:rPr>
                <w:rFonts w:hint="eastAsia" w:ascii="仿宋" w:hAnsi="仿宋" w:eastAsia="仿宋" w:cs="仿宋"/>
                <w:b/>
                <w:bCs/>
                <w:kern w:val="0"/>
                <w:sz w:val="32"/>
                <w:szCs w:val="32"/>
                <w:lang w:eastAsia="zh-CN"/>
              </w:rPr>
            </w:pPr>
            <w:r>
              <w:rPr>
                <w:rFonts w:hint="eastAsia" w:ascii="仿宋" w:hAnsi="仿宋" w:eastAsia="仿宋" w:cs="仿宋"/>
                <w:b/>
                <w:bCs/>
                <w:kern w:val="0"/>
                <w:sz w:val="32"/>
                <w:szCs w:val="32"/>
                <w:lang w:eastAsia="zh-CN"/>
              </w:rPr>
              <w:t>类别</w:t>
            </w:r>
          </w:p>
        </w:tc>
        <w:tc>
          <w:tcPr>
            <w:tcW w:w="5181" w:type="dxa"/>
            <w:tcBorders>
              <w:top w:val="single" w:color="auto" w:sz="4" w:space="0"/>
              <w:left w:val="single" w:color="auto" w:sz="4" w:space="0"/>
              <w:bottom w:val="single" w:color="auto" w:sz="4" w:space="0"/>
              <w:right w:val="single" w:color="auto" w:sz="4" w:space="0"/>
            </w:tcBorders>
            <w:noWrap w:val="0"/>
            <w:vAlign w:val="center"/>
          </w:tcPr>
          <w:p w14:paraId="7E798D3E">
            <w:pPr>
              <w:keepNext w:val="0"/>
              <w:keepLines w:val="0"/>
              <w:pageBreakBefore w:val="0"/>
              <w:widowControl/>
              <w:kinsoku/>
              <w:wordWrap/>
              <w:overflowPunct/>
              <w:topLinePunct w:val="0"/>
              <w:autoSpaceDE/>
              <w:autoSpaceDN/>
              <w:bidi w:val="0"/>
              <w:adjustRightInd/>
              <w:snapToGrid/>
              <w:spacing w:line="380" w:lineRule="exact"/>
              <w:jc w:val="center"/>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 xml:space="preserve">课 题 </w:t>
            </w:r>
            <w:r>
              <w:rPr>
                <w:rFonts w:hint="eastAsia" w:ascii="仿宋" w:hAnsi="仿宋" w:eastAsia="仿宋" w:cs="仿宋"/>
                <w:b/>
                <w:bCs/>
                <w:kern w:val="0"/>
                <w:sz w:val="32"/>
                <w:szCs w:val="32"/>
              </w:rPr>
              <w:t>名 称</w:t>
            </w:r>
          </w:p>
        </w:tc>
      </w:tr>
      <w:tr w14:paraId="22AFB484">
        <w:tblPrEx>
          <w:tblCellMar>
            <w:top w:w="0" w:type="dxa"/>
            <w:left w:w="108" w:type="dxa"/>
            <w:bottom w:w="0" w:type="dxa"/>
            <w:right w:w="108" w:type="dxa"/>
          </w:tblCellMar>
        </w:tblPrEx>
        <w:trPr>
          <w:trHeight w:val="1241"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40A444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1</w:t>
            </w:r>
          </w:p>
        </w:tc>
        <w:tc>
          <w:tcPr>
            <w:tcW w:w="1292" w:type="dxa"/>
            <w:tcBorders>
              <w:top w:val="single" w:color="auto" w:sz="4" w:space="0"/>
              <w:left w:val="nil"/>
              <w:bottom w:val="single" w:color="auto" w:sz="4" w:space="0"/>
              <w:right w:val="single" w:color="auto" w:sz="4" w:space="0"/>
            </w:tcBorders>
            <w:noWrap w:val="0"/>
            <w:vAlign w:val="center"/>
          </w:tcPr>
          <w:p w14:paraId="51FC29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陈静</w:t>
            </w:r>
          </w:p>
        </w:tc>
        <w:tc>
          <w:tcPr>
            <w:tcW w:w="1243" w:type="dxa"/>
            <w:tcBorders>
              <w:top w:val="single" w:color="auto" w:sz="4" w:space="0"/>
              <w:left w:val="nil"/>
              <w:bottom w:val="single" w:color="auto" w:sz="4" w:space="0"/>
              <w:right w:val="single" w:color="auto" w:sz="4" w:space="0"/>
            </w:tcBorders>
            <w:noWrap w:val="0"/>
            <w:vAlign w:val="center"/>
          </w:tcPr>
          <w:p w14:paraId="7A4B58EA">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教育学专项</w:t>
            </w:r>
          </w:p>
        </w:tc>
        <w:tc>
          <w:tcPr>
            <w:tcW w:w="5181" w:type="dxa"/>
            <w:tcBorders>
              <w:top w:val="single" w:color="auto" w:sz="4" w:space="0"/>
              <w:left w:val="nil"/>
              <w:bottom w:val="single" w:color="auto" w:sz="4" w:space="0"/>
              <w:right w:val="single" w:color="auto" w:sz="4" w:space="0"/>
            </w:tcBorders>
            <w:shd w:val="clear" w:color="auto" w:fill="auto"/>
            <w:noWrap w:val="0"/>
            <w:vAlign w:val="center"/>
          </w:tcPr>
          <w:p w14:paraId="7418F710">
            <w:pPr>
              <w:keepNext w:val="0"/>
              <w:keepLines w:val="0"/>
              <w:widowControl/>
              <w:suppressLineNumbers w:val="0"/>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生成式AI赋能高职教师“三师协同”角色转型的机制与路径研究</w:t>
            </w:r>
          </w:p>
        </w:tc>
      </w:tr>
      <w:tr w14:paraId="4A494827">
        <w:tblPrEx>
          <w:tblCellMar>
            <w:top w:w="0" w:type="dxa"/>
            <w:left w:w="108" w:type="dxa"/>
            <w:bottom w:w="0" w:type="dxa"/>
            <w:right w:w="108" w:type="dxa"/>
          </w:tblCellMar>
        </w:tblPrEx>
        <w:trPr>
          <w:trHeight w:val="1516" w:hRule="atLeast"/>
          <w:jc w:val="center"/>
        </w:trPr>
        <w:tc>
          <w:tcPr>
            <w:tcW w:w="870" w:type="dxa"/>
            <w:tcBorders>
              <w:top w:val="single" w:color="auto" w:sz="4" w:space="0"/>
              <w:left w:val="single" w:color="auto" w:sz="4" w:space="0"/>
              <w:bottom w:val="single" w:color="auto" w:sz="4" w:space="0"/>
              <w:right w:val="single" w:color="auto" w:sz="4" w:space="0"/>
            </w:tcBorders>
            <w:noWrap w:val="0"/>
            <w:vAlign w:val="center"/>
          </w:tcPr>
          <w:p w14:paraId="4E63B4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2</w:t>
            </w:r>
          </w:p>
        </w:tc>
        <w:tc>
          <w:tcPr>
            <w:tcW w:w="1292" w:type="dxa"/>
            <w:tcBorders>
              <w:top w:val="single" w:color="auto" w:sz="4" w:space="0"/>
              <w:left w:val="nil"/>
              <w:bottom w:val="single" w:color="auto" w:sz="4" w:space="0"/>
              <w:right w:val="single" w:color="auto" w:sz="4" w:space="0"/>
            </w:tcBorders>
            <w:noWrap w:val="0"/>
            <w:vAlign w:val="center"/>
          </w:tcPr>
          <w:p w14:paraId="4F2428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邵锟</w:t>
            </w:r>
          </w:p>
        </w:tc>
        <w:tc>
          <w:tcPr>
            <w:tcW w:w="1243" w:type="dxa"/>
            <w:tcBorders>
              <w:top w:val="single" w:color="auto" w:sz="4" w:space="0"/>
              <w:left w:val="nil"/>
              <w:bottom w:val="single" w:color="auto" w:sz="4" w:space="0"/>
              <w:right w:val="single" w:color="auto" w:sz="4" w:space="0"/>
            </w:tcBorders>
            <w:noWrap w:val="0"/>
            <w:vAlign w:val="center"/>
          </w:tcPr>
          <w:p w14:paraId="34C9BB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教育学专项</w:t>
            </w:r>
          </w:p>
        </w:tc>
        <w:tc>
          <w:tcPr>
            <w:tcW w:w="5181" w:type="dxa"/>
            <w:tcBorders>
              <w:top w:val="single" w:color="auto" w:sz="4" w:space="0"/>
              <w:left w:val="nil"/>
              <w:bottom w:val="single" w:color="auto" w:sz="4" w:space="0"/>
              <w:right w:val="single" w:color="auto" w:sz="4" w:space="0"/>
            </w:tcBorders>
            <w:noWrap w:val="0"/>
            <w:vAlign w:val="center"/>
          </w:tcPr>
          <w:p w14:paraId="1C2C55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2"/>
                <w:sz w:val="32"/>
                <w:szCs w:val="32"/>
                <w:u w:val="none"/>
                <w:lang w:val="en-US" w:eastAsia="zh-CN" w:bidi="ar-SA"/>
              </w:rPr>
              <w:t>生态环境法典普法教育融入大中小学思政课一体化建设的理论与实践研究</w:t>
            </w:r>
          </w:p>
        </w:tc>
      </w:tr>
    </w:tbl>
    <w:p w14:paraId="17B7F40A">
      <w:pPr>
        <w:rPr>
          <w:rFonts w:hint="eastAsia" w:ascii="华文仿宋" w:hAnsi="华文仿宋" w:eastAsia="华文仿宋" w:cs="华文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B57F0"/>
    <w:rsid w:val="04220FDD"/>
    <w:rsid w:val="050E2319"/>
    <w:rsid w:val="053F78FC"/>
    <w:rsid w:val="05AB4C16"/>
    <w:rsid w:val="0726038D"/>
    <w:rsid w:val="0C913FB2"/>
    <w:rsid w:val="10922D88"/>
    <w:rsid w:val="11265E39"/>
    <w:rsid w:val="17EF0E24"/>
    <w:rsid w:val="1B5C666D"/>
    <w:rsid w:val="1E766B63"/>
    <w:rsid w:val="207C120C"/>
    <w:rsid w:val="273C1F74"/>
    <w:rsid w:val="2D1F486A"/>
    <w:rsid w:val="2F36338E"/>
    <w:rsid w:val="315216B2"/>
    <w:rsid w:val="39576764"/>
    <w:rsid w:val="3CA241F0"/>
    <w:rsid w:val="3DBA03C3"/>
    <w:rsid w:val="3F4C54D9"/>
    <w:rsid w:val="402D72D3"/>
    <w:rsid w:val="412254B4"/>
    <w:rsid w:val="448D075C"/>
    <w:rsid w:val="44B21EC6"/>
    <w:rsid w:val="44DD7355"/>
    <w:rsid w:val="48884D8A"/>
    <w:rsid w:val="4B3027D5"/>
    <w:rsid w:val="4C516396"/>
    <w:rsid w:val="4CE02291"/>
    <w:rsid w:val="4D654EFE"/>
    <w:rsid w:val="51A60AE7"/>
    <w:rsid w:val="52B753C1"/>
    <w:rsid w:val="53157191"/>
    <w:rsid w:val="5E1B3AC9"/>
    <w:rsid w:val="61CB6793"/>
    <w:rsid w:val="688F7FCB"/>
    <w:rsid w:val="6BE375AE"/>
    <w:rsid w:val="6E842069"/>
    <w:rsid w:val="70785174"/>
    <w:rsid w:val="745E5559"/>
    <w:rsid w:val="7B9F0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763</Words>
  <Characters>810</Characters>
  <Lines>0</Lines>
  <Paragraphs>0</Paragraphs>
  <TotalTime>19</TotalTime>
  <ScaleCrop>false</ScaleCrop>
  <LinksUpToDate>false</LinksUpToDate>
  <CharactersWithSpaces>881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2025-03-24T08:57:00Z</dcterms:created>
  <dc:creator>lsh</dc:creator>
  <cp:lastModifiedBy>LL6</cp:lastModifiedBy>
  <cp:lastPrinted>2026-04-27T07:42:46Z</cp:lastPrinted>
  <dcterms:modified xsi:type="dcterms:W3CDTF">2026-04-27T07:56:23Z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eyJoZGlkIjoiNGUxYzcxNTk1YjI0ZTFiODFkNDVjYzk4YWExZjY0NGIiLCJ1c2VySWQiOiI2NDU5ODY1MDgifQ==</vt:lpwstr>
  </property>
  <property fmtid="{D5CDD505-2E9C-101B-9397-08002B2CF9AE}" pid="4" name="ICV">
    <vt:lpwstr>7CD2B1F3867149CCBD03F4339AEF7359_12</vt:lpwstr>
  </property>
</Properties>
</file>