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45537" w14:textId="152A6269" w:rsidR="000B7302" w:rsidRDefault="00000000">
      <w:pPr>
        <w:spacing w:line="72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湖南工程职业技术学院课程改革</w:t>
      </w:r>
    </w:p>
    <w:p w14:paraId="6236543F" w14:textId="77777777" w:rsidR="000B7302" w:rsidRDefault="00000000">
      <w:pPr>
        <w:spacing w:line="72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实施管理办法</w:t>
      </w:r>
    </w:p>
    <w:p w14:paraId="3CAC2D28" w14:textId="77777777" w:rsidR="000B7302" w:rsidRPr="00622EBC" w:rsidRDefault="000B7302" w:rsidP="00622EBC">
      <w:pPr>
        <w:pStyle w:val="a0"/>
        <w:spacing w:line="576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</w:p>
    <w:p w14:paraId="5F96F2CB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为深入贯彻落实《关于深化现代职业教育体系建设改革的意见》等文件精神，保障《湖南工程职业技术学院课程改革三年行动计划（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2025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2027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年）》的有效实施，系统推进课程改革工作，提升学校关键办学能力和人才培养质量，特制定本办法。</w:t>
      </w:r>
    </w:p>
    <w:p w14:paraId="031E869E" w14:textId="77777777" w:rsidR="000B7302" w:rsidRPr="00622EBC" w:rsidRDefault="00000000" w:rsidP="00622EBC">
      <w:pPr>
        <w:spacing w:line="576" w:lineRule="exact"/>
        <w:jc w:val="center"/>
        <w:rPr>
          <w:rFonts w:ascii="黑体" w:eastAsia="黑体" w:hAnsi="黑体" w:cs="Times New Roman" w:hint="eastAsia"/>
          <w:bCs/>
          <w:sz w:val="32"/>
          <w:szCs w:val="32"/>
        </w:rPr>
      </w:pPr>
      <w:r w:rsidRPr="00622EBC">
        <w:rPr>
          <w:rFonts w:ascii="黑体" w:eastAsia="黑体" w:hAnsi="黑体" w:cs="Times New Roman" w:hint="eastAsia"/>
          <w:bCs/>
          <w:sz w:val="32"/>
          <w:szCs w:val="32"/>
        </w:rPr>
        <w:t>第一章  总则</w:t>
      </w:r>
    </w:p>
    <w:p w14:paraId="32B157C9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第一条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本办法适用于学校所有的专业基础课程、专业核心课程以及主要公共基础课程的改革实施与管理工作，涵盖课程体系完善、一流课程建设、教学团队培育等课程改革相关活动。</w:t>
      </w:r>
    </w:p>
    <w:p w14:paraId="58F0E0B8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第二条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本办法旨在规范课程改革的组织管理、实施流程、质量监控、认定评估与激励保障，确保课程改革工作科学、有序、高效开展，实现“建设一批一流课程”的总体目标。</w:t>
      </w:r>
    </w:p>
    <w:p w14:paraId="01D4D567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第三条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学校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课程改革遵循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能力本位、适度够用、开放共享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的原则，坚持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边改、边建、边认定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的工作路径。</w:t>
      </w:r>
    </w:p>
    <w:p w14:paraId="6D911164" w14:textId="77777777" w:rsidR="000B7302" w:rsidRPr="00622EBC" w:rsidRDefault="00000000" w:rsidP="00622EBC">
      <w:pPr>
        <w:spacing w:line="576" w:lineRule="exact"/>
        <w:jc w:val="center"/>
        <w:rPr>
          <w:rFonts w:ascii="黑体" w:eastAsia="黑体" w:hAnsi="黑体" w:cs="Times New Roman" w:hint="eastAsia"/>
          <w:bCs/>
          <w:sz w:val="32"/>
          <w:szCs w:val="32"/>
        </w:rPr>
      </w:pPr>
      <w:r w:rsidRPr="00622EBC">
        <w:rPr>
          <w:rFonts w:ascii="黑体" w:eastAsia="黑体" w:hAnsi="黑体" w:cs="Times New Roman" w:hint="eastAsia"/>
          <w:bCs/>
          <w:sz w:val="32"/>
          <w:szCs w:val="32"/>
        </w:rPr>
        <w:t>第二章 组织与职责</w:t>
      </w:r>
    </w:p>
    <w:p w14:paraId="79B683FB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第四条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学校成立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课程改革三年行动计划办公室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（以下简称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课改办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），挂靠教务处，负责课程改革工作的顶层设计、统筹协调、过程管理与考核评估。其主要职责包括：</w:t>
      </w:r>
    </w:p>
    <w:p w14:paraId="2DF7A044" w14:textId="1B129A69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制定课程改革总体实施方案与配套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制度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；</w:t>
      </w:r>
    </w:p>
    <w:p w14:paraId="7BFA9EED" w14:textId="1D6123EC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指导并审核各二级院（部）的课程改革方案；</w:t>
      </w:r>
    </w:p>
    <w:p w14:paraId="28B42472" w14:textId="66A16019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组织校内外专家对课程改革工作进行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指导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、评审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、认定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与验收；</w:t>
      </w:r>
    </w:p>
    <w:p w14:paraId="080ED3EA" w14:textId="7758BCF0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建立课程改革工作台账，监督各项目进展；</w:t>
      </w:r>
    </w:p>
    <w:p w14:paraId="2931CFC3" w14:textId="6650A38E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协调解决课程改革过程中的重大问题；</w:t>
      </w:r>
    </w:p>
    <w:p w14:paraId="0376D698" w14:textId="6457CA5B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组织课程改革成果的总结、推广与宣传。</w:t>
      </w:r>
    </w:p>
    <w:p w14:paraId="72336A05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第五条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各二级院（部）成立“课程改革院部工作组”（以下简称“院部工作组”），“院部工作组”由院（部）负责人、专业主任（教研室主任）、骨干教师等组成。其主要职责包括：</w:t>
      </w:r>
    </w:p>
    <w:p w14:paraId="03464743" w14:textId="150E4217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根据学校总体行动计划，制定本院（部）具体的课程改革实施方案；</w:t>
      </w:r>
    </w:p>
    <w:p w14:paraId="61666FB6" w14:textId="02C515F3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组建课程核心师资团队，明确团队负责人及成员职责；</w:t>
      </w:r>
    </w:p>
    <w:p w14:paraId="71E3F2F7" w14:textId="3FC062E1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组织本院（部）课程改革项目的申报、论证、实施与自查；</w:t>
      </w:r>
    </w:p>
    <w:p w14:paraId="3606AB25" w14:textId="38ABABAB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负责本院（部）课程改革过程的日常管理与质量监控；</w:t>
      </w:r>
    </w:p>
    <w:p w14:paraId="4C33DA8F" w14:textId="056B989B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配合学校完成课程改革的中期检查、验收认定及成果推广工作。</w:t>
      </w:r>
    </w:p>
    <w:p w14:paraId="460F1844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第六条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各课程须组建“核心师资团队”，“核心师资团队”由课程负责人、骨干教师及行业企业专家共同组成。团队实行负责人制，具体负责所承担课程的调研、设计、资源建设、教学实施、效果评估与持续改进等全过程工作。</w:t>
      </w:r>
    </w:p>
    <w:p w14:paraId="3FF626BC" w14:textId="77777777" w:rsidR="000B7302" w:rsidRPr="00622EBC" w:rsidRDefault="000B7302" w:rsidP="00622EBC">
      <w:pPr>
        <w:pStyle w:val="a0"/>
        <w:spacing w:line="576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</w:p>
    <w:p w14:paraId="199D9E24" w14:textId="77777777" w:rsidR="000B7302" w:rsidRPr="00622EBC" w:rsidRDefault="00000000" w:rsidP="00622EBC">
      <w:pPr>
        <w:spacing w:line="576" w:lineRule="exact"/>
        <w:jc w:val="center"/>
        <w:rPr>
          <w:rFonts w:ascii="黑体" w:eastAsia="黑体" w:hAnsi="黑体" w:cs="Times New Roman" w:hint="eastAsia"/>
          <w:bCs/>
          <w:sz w:val="32"/>
          <w:szCs w:val="32"/>
        </w:rPr>
      </w:pPr>
      <w:r w:rsidRPr="00622EBC">
        <w:rPr>
          <w:rFonts w:ascii="黑体" w:eastAsia="黑体" w:hAnsi="黑体" w:cs="Times New Roman"/>
          <w:bCs/>
          <w:sz w:val="32"/>
          <w:szCs w:val="32"/>
        </w:rPr>
        <w:t>第三章 实施流程与管理</w:t>
      </w:r>
    </w:p>
    <w:p w14:paraId="73D97405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/>
          <w:sz w:val="32"/>
          <w:szCs w:val="32"/>
        </w:rPr>
        <w:t>第七条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各院部工作组组织课程团队依据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学校《课程改革三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年行动计划（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2025-2027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年度）实施进度安排一览表》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进行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课程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申报，课改办组织专家对申报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课程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进行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课改准入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评审，通过后纳入学校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课改课程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库进行统一管理。</w:t>
      </w:r>
    </w:p>
    <w:p w14:paraId="291CAC3B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/>
          <w:sz w:val="32"/>
          <w:szCs w:val="32"/>
        </w:rPr>
        <w:t>第八条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过程管理与监控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课程改革实施全过程闭环动态管理。</w:t>
      </w:r>
    </w:p>
    <w:p w14:paraId="4BD527F1" w14:textId="21296EED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中期检查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：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课改办于每年年中对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纳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入学校课改课程库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的课程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进行中期检查，重点检查课程改革调研报告、课程改革实施指南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课程标准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（含</w:t>
      </w:r>
      <w:r w:rsidR="00000000" w:rsidRPr="00622EBC">
        <w:rPr>
          <w:rFonts w:ascii="Times New Roman" w:eastAsia="仿宋_GB2312" w:hAnsi="Times New Roman" w:cs="Times New Roman" w:hint="eastAsia"/>
          <w:spacing w:val="9"/>
          <w:sz w:val="32"/>
          <w:szCs w:val="32"/>
        </w:rPr>
        <w:t>模块化课程内容体系</w:t>
      </w:r>
      <w:r w:rsidR="00000000" w:rsidRPr="00622EBC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、教案、资源建设等阶段性成果。</w:t>
      </w:r>
    </w:p>
    <w:p w14:paraId="1083BD5B" w14:textId="1DB90D5C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随机督导：督导处组织教学督导专家对改革课程进行随机听课，重点关注课堂教学组织、学生参与度、教学方法创新等情况，并将评价结果反馈至课程团队及院部。</w:t>
      </w:r>
    </w:p>
    <w:p w14:paraId="29943BA9" w14:textId="1A4AEF4F" w:rsidR="000B7302" w:rsidRP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="00000000" w:rsidRPr="00622EBC">
        <w:rPr>
          <w:rFonts w:ascii="Times New Roman" w:eastAsia="仿宋_GB2312" w:hAnsi="Times New Roman" w:cs="Times New Roman"/>
          <w:sz w:val="32"/>
          <w:szCs w:val="32"/>
        </w:rPr>
        <w:t>年度报告：各课程团队及院部每年末须向课改办提交年度进展报告，课改办汇总形成学校课程改革年度报告。</w:t>
      </w:r>
    </w:p>
    <w:p w14:paraId="1E23B728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/>
          <w:sz w:val="32"/>
          <w:szCs w:val="32"/>
        </w:rPr>
        <w:t>第九条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教学试验与优化。改革课程须经过教学试验验证。课程团队需制定试验方案，遴选试验班，开展教学试点。通过试验班与普通班的对比分析，检验改革成效，并基于反馈对课程内容、教学方法与评价方式进行持续优化。</w:t>
      </w:r>
    </w:p>
    <w:p w14:paraId="11F35672" w14:textId="77777777" w:rsidR="000B7302" w:rsidRPr="00622EBC" w:rsidRDefault="00000000" w:rsidP="00622EBC">
      <w:pPr>
        <w:spacing w:line="576" w:lineRule="exact"/>
        <w:jc w:val="center"/>
        <w:rPr>
          <w:rFonts w:ascii="黑体" w:eastAsia="黑体" w:hAnsi="黑体" w:cs="Times New Roman" w:hint="eastAsia"/>
          <w:bCs/>
          <w:sz w:val="32"/>
          <w:szCs w:val="32"/>
        </w:rPr>
      </w:pPr>
      <w:r w:rsidRPr="00622EBC">
        <w:rPr>
          <w:rFonts w:ascii="黑体" w:eastAsia="黑体" w:hAnsi="黑体" w:cs="Times New Roman" w:hint="eastAsia"/>
          <w:bCs/>
          <w:sz w:val="32"/>
          <w:szCs w:val="32"/>
        </w:rPr>
        <w:t>第四章 课程认定与标准</w:t>
      </w:r>
    </w:p>
    <w:p w14:paraId="538064E7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第十条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课程认定采取课程团队自主申报、院部初审推荐、学校集中评审的方式进行。原则上，所有纳入改革范围的课程均需在三年改革期内申请认定。</w:t>
      </w:r>
    </w:p>
    <w:p w14:paraId="46F09276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第十一条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课程改革成果实行分级认定，分为“合格课程”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“优质课程”“示范课程”三个等级。</w:t>
      </w:r>
    </w:p>
    <w:p w14:paraId="7FC150AF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第十二条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认定等级划分：</w:t>
      </w:r>
    </w:p>
    <w:p w14:paraId="061C3302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仿宋_GB2312" w:eastAsia="仿宋_GB2312" w:hAnsi="Times New Roman" w:cs="Times New Roman" w:hint="eastAsia"/>
          <w:bCs/>
          <w:sz w:val="32"/>
          <w:szCs w:val="32"/>
        </w:rPr>
      </w:pPr>
      <w:r w:rsidRPr="00622EBC">
        <w:rPr>
          <w:rFonts w:ascii="仿宋_GB2312" w:eastAsia="仿宋_GB2312" w:hAnsi="Times New Roman" w:cs="Times New Roman" w:hint="eastAsia"/>
          <w:bCs/>
          <w:sz w:val="32"/>
          <w:szCs w:val="32"/>
        </w:rPr>
        <w:t>（一）合格课程：综合得分：70-79分；</w:t>
      </w:r>
    </w:p>
    <w:p w14:paraId="5683B7BC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仿宋_GB2312" w:eastAsia="仿宋_GB2312" w:hAnsi="Times New Roman" w:cs="Times New Roman" w:hint="eastAsia"/>
          <w:bCs/>
          <w:sz w:val="32"/>
          <w:szCs w:val="32"/>
        </w:rPr>
      </w:pPr>
      <w:r w:rsidRPr="00622EBC">
        <w:rPr>
          <w:rFonts w:ascii="仿宋_GB2312" w:eastAsia="仿宋_GB2312" w:hAnsi="Times New Roman" w:cs="Times New Roman" w:hint="eastAsia"/>
          <w:bCs/>
          <w:sz w:val="32"/>
          <w:szCs w:val="32"/>
        </w:rPr>
        <w:t>（二）优质课程：综合得分：80-89分；</w:t>
      </w:r>
    </w:p>
    <w:p w14:paraId="6EAA083C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仿宋_GB2312" w:eastAsia="仿宋_GB2312" w:hAnsi="Times New Roman" w:cs="Times New Roman" w:hint="eastAsia"/>
          <w:bCs/>
          <w:sz w:val="32"/>
          <w:szCs w:val="32"/>
        </w:rPr>
      </w:pPr>
      <w:r w:rsidRPr="00622EBC">
        <w:rPr>
          <w:rFonts w:ascii="仿宋_GB2312" w:eastAsia="仿宋_GB2312" w:hAnsi="Times New Roman" w:cs="Times New Roman" w:hint="eastAsia"/>
          <w:bCs/>
          <w:sz w:val="32"/>
          <w:szCs w:val="32"/>
        </w:rPr>
        <w:t>（三）示范课程：综合得分：90-100分。</w:t>
      </w:r>
    </w:p>
    <w:p w14:paraId="0C9BE75C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仿宋_GB2312" w:eastAsia="仿宋_GB2312" w:hAnsi="Times New Roman" w:cs="Times New Roman" w:hint="eastAsia"/>
          <w:bCs/>
          <w:sz w:val="32"/>
          <w:szCs w:val="32"/>
        </w:rPr>
      </w:pPr>
      <w:r w:rsidRPr="00622EBC">
        <w:rPr>
          <w:rFonts w:ascii="仿宋_GB2312" w:eastAsia="仿宋_GB2312" w:hAnsi="Times New Roman" w:cs="Times New Roman" w:hint="eastAsia"/>
          <w:bCs/>
          <w:sz w:val="32"/>
          <w:szCs w:val="32"/>
        </w:rPr>
        <w:t>第十三条 认定程序</w:t>
      </w:r>
    </w:p>
    <w:p w14:paraId="60806C6F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仿宋_GB2312" w:eastAsia="仿宋_GB2312" w:hAnsi="Times New Roman" w:cs="Times New Roman" w:hint="eastAsia"/>
          <w:bCs/>
          <w:sz w:val="32"/>
          <w:szCs w:val="32"/>
        </w:rPr>
      </w:pPr>
      <w:r w:rsidRPr="00622EBC">
        <w:rPr>
          <w:rFonts w:ascii="仿宋_GB2312" w:eastAsia="仿宋_GB2312" w:hAnsi="Times New Roman" w:cs="Times New Roman" w:hint="eastAsia"/>
          <w:bCs/>
          <w:sz w:val="32"/>
          <w:szCs w:val="32"/>
        </w:rPr>
        <w:t>（一）课程申报：课程教学团队根据认定标准，填写课程认定申报表，提交相关申报材料，向所在二级院部提出申请。</w:t>
      </w:r>
    </w:p>
    <w:p w14:paraId="27BE5514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仿宋_GB2312" w:eastAsia="仿宋_GB2312" w:hAnsi="Times New Roman" w:cs="Times New Roman" w:hint="eastAsia"/>
          <w:bCs/>
          <w:sz w:val="32"/>
          <w:szCs w:val="32"/>
        </w:rPr>
      </w:pPr>
      <w:r w:rsidRPr="00622EBC">
        <w:rPr>
          <w:rFonts w:ascii="仿宋_GB2312" w:eastAsia="仿宋_GB2312" w:hAnsi="Times New Roman" w:cs="Times New Roman" w:hint="eastAsia"/>
          <w:bCs/>
          <w:sz w:val="32"/>
          <w:szCs w:val="32"/>
        </w:rPr>
        <w:t>（二）院部初审：二级院部对申报课程进行初审，初审通过后，将申报材料报送课改办。</w:t>
      </w:r>
    </w:p>
    <w:p w14:paraId="32B30BF3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仿宋_GB2312" w:eastAsia="仿宋_GB2312" w:hAnsi="Times New Roman" w:cs="Times New Roman" w:hint="eastAsia"/>
          <w:bCs/>
          <w:sz w:val="32"/>
          <w:szCs w:val="32"/>
        </w:rPr>
      </w:pPr>
      <w:r w:rsidRPr="00622EBC">
        <w:rPr>
          <w:rFonts w:ascii="仿宋_GB2312" w:eastAsia="仿宋_GB2312" w:hAnsi="Times New Roman" w:cs="Times New Roman" w:hint="eastAsia"/>
          <w:bCs/>
          <w:sz w:val="32"/>
          <w:szCs w:val="32"/>
        </w:rPr>
        <w:t>（三）学校评审：课改办组织专家评审组按照认定标准，对申报课程进行评审赋分。专家评审组根据评审结果，提出合格课程、优质课程、示范课程的建议名单。</w:t>
      </w:r>
    </w:p>
    <w:p w14:paraId="0C7FD347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仿宋_GB2312" w:eastAsia="仿宋_GB2312" w:hAnsi="Times New Roman" w:cs="Times New Roman" w:hint="eastAsia"/>
          <w:bCs/>
          <w:sz w:val="32"/>
          <w:szCs w:val="32"/>
        </w:rPr>
        <w:t>（四）结果公示：将评审结果在学校范围内进行公示，公示期不少于5个工作日。公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示无异议后，由学校发文公布认定结果。</w:t>
      </w:r>
    </w:p>
    <w:p w14:paraId="6FD8B1DE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第十四条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课程认定标准总分为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100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分，由课程建设情况、课程实施情况、课程教学成效三部分构成。具体认定标准见附件。</w:t>
      </w:r>
    </w:p>
    <w:p w14:paraId="54CFCCF7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第十五条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对认定的合格课程、优质课程、示范课程实行动态管理，每两年进行一次复查。复查内容包括课程建设情况、教学运行情况、教学效果等方面。对于复查不合格的课程，给予警告并限期整改。整改后仍不合格的，取消其相应的课程认定资格。</w:t>
      </w:r>
    </w:p>
    <w:p w14:paraId="6C200C83" w14:textId="77777777" w:rsidR="000B7302" w:rsidRPr="00622EBC" w:rsidRDefault="00000000" w:rsidP="00622EBC">
      <w:pPr>
        <w:spacing w:line="576" w:lineRule="exact"/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622EBC">
        <w:rPr>
          <w:rFonts w:ascii="黑体" w:eastAsia="黑体" w:hAnsi="黑体" w:cs="Times New Roman" w:hint="eastAsia"/>
          <w:bCs/>
          <w:sz w:val="32"/>
          <w:szCs w:val="32"/>
        </w:rPr>
        <w:t>第五章 保障与激励</w:t>
      </w:r>
    </w:p>
    <w:p w14:paraId="769963DA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第十六条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各相关部门须高度重视，密切配合，确保课程改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革所需的人力、物力和财力投入。课改办负责总体协调，教务处、督导处、教师发展中心、实习实训中心及各二级院（部）各司其职，形成合力。</w:t>
      </w:r>
    </w:p>
    <w:p w14:paraId="2BEEEB5A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第十七条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学校设立课程改革专项经费，用于课程调研、资源开发、团队培训、专家评审等。对通过认定的“示范课程”给予上浮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0.1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课程系数的奖励（奖励期限与本办法有效期一致），并优先推荐申报省级、国家级课程等项目。</w:t>
      </w:r>
    </w:p>
    <w:p w14:paraId="328C4642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第十八条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将课程改革成果（特别是课程认定等级）作为教师教学考核、职称职务评聘、评优评先的重要依据。</w:t>
      </w:r>
    </w:p>
    <w:p w14:paraId="0E7BBFB7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第十九条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对获评“示范课程”的团队及其成员，在省级及以上教学项目推荐、校级教学成果奖评选等方面予以优先考虑。</w:t>
      </w:r>
    </w:p>
    <w:p w14:paraId="7BDF6243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第二十条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学校优先支持“示范课程”“优质课程”进行数字教材开发与优质教学资源建设。</w:t>
      </w:r>
    </w:p>
    <w:p w14:paraId="3FA4D733" w14:textId="77777777" w:rsidR="000B7302" w:rsidRPr="00622EBC" w:rsidRDefault="00000000" w:rsidP="00622EBC">
      <w:pPr>
        <w:spacing w:line="576" w:lineRule="exact"/>
        <w:jc w:val="center"/>
        <w:rPr>
          <w:rFonts w:ascii="黑体" w:eastAsia="黑体" w:hAnsi="黑体" w:cs="Times New Roman" w:hint="eastAsia"/>
          <w:bCs/>
          <w:sz w:val="32"/>
          <w:szCs w:val="32"/>
        </w:rPr>
      </w:pPr>
      <w:r w:rsidRPr="00622EBC">
        <w:rPr>
          <w:rFonts w:ascii="黑体" w:eastAsia="黑体" w:hAnsi="黑体" w:cs="Times New Roman" w:hint="eastAsia"/>
          <w:bCs/>
          <w:sz w:val="32"/>
          <w:szCs w:val="32"/>
        </w:rPr>
        <w:t>第六章 附则</w:t>
      </w:r>
    </w:p>
    <w:p w14:paraId="7A2E0591" w14:textId="77777777" w:rsidR="000B7302" w:rsidRP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第二十一条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本办法自发布之日起施行，其效力与《湖南工程职业技术学院课程改革三年行动计划（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2025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2027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年）》相始终。</w:t>
      </w:r>
    </w:p>
    <w:p w14:paraId="75CAA2C4" w14:textId="77777777" w:rsidR="00622EBC" w:rsidRDefault="00000000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第二十二条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本办法由学校课程改革三年行动计划办公室（教务处）负责解释。</w:t>
      </w:r>
    </w:p>
    <w:p w14:paraId="35685276" w14:textId="77777777" w:rsidR="00622EBC" w:rsidRDefault="00622EBC" w:rsidP="00622EBC">
      <w:pPr>
        <w:spacing w:line="576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79BEC8A1" w14:textId="79D32CBD" w:rsidR="00622EBC" w:rsidRDefault="00622EBC" w:rsidP="00622EBC">
      <w:pPr>
        <w:spacing w:line="576" w:lineRule="exact"/>
        <w:ind w:firstLineChars="200" w:firstLine="640"/>
      </w:pP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附件</w:t>
      </w:r>
      <w:r w:rsidRPr="00622EBC">
        <w:rPr>
          <w:rFonts w:ascii="Times New Roman" w:eastAsia="仿宋_GB2312" w:hAnsi="Times New Roman" w:cs="Times New Roman"/>
          <w:sz w:val="32"/>
          <w:szCs w:val="32"/>
        </w:rPr>
        <w:t>：</w:t>
      </w:r>
      <w:r w:rsidRPr="00622EBC">
        <w:rPr>
          <w:rFonts w:ascii="Times New Roman" w:eastAsia="仿宋_GB2312" w:hAnsi="Times New Roman" w:cs="Times New Roman" w:hint="eastAsia"/>
          <w:sz w:val="32"/>
          <w:szCs w:val="32"/>
        </w:rPr>
        <w:t>湖南工程职业技术学院课程认证标准</w:t>
      </w:r>
    </w:p>
    <w:p w14:paraId="559A3A40" w14:textId="2723C65F" w:rsidR="00622EBC" w:rsidRPr="00622EBC" w:rsidRDefault="00622EBC" w:rsidP="00622EBC">
      <w:pPr>
        <w:pStyle w:val="GCZY0"/>
        <w:rPr>
          <w:rFonts w:hint="default"/>
        </w:rPr>
      </w:pPr>
    </w:p>
    <w:p w14:paraId="44C50694" w14:textId="77777777" w:rsidR="00622EBC" w:rsidRPr="00622EBC" w:rsidRDefault="00622EBC" w:rsidP="00622EBC">
      <w:pPr>
        <w:pStyle w:val="a0"/>
        <w:rPr>
          <w:rFonts w:hint="eastAsia"/>
        </w:rPr>
      </w:pPr>
    </w:p>
    <w:p w14:paraId="1E48A0C1" w14:textId="77777777" w:rsidR="000B7302" w:rsidRDefault="00000000">
      <w:pPr>
        <w:pStyle w:val="GCZY0"/>
        <w:rPr>
          <w:rFonts w:hint="default"/>
        </w:rPr>
      </w:pPr>
      <w:r>
        <w:lastRenderedPageBreak/>
        <w:t>附件</w:t>
      </w:r>
    </w:p>
    <w:p w14:paraId="5EF1B5BD" w14:textId="77777777" w:rsidR="000B7302" w:rsidRDefault="00000000">
      <w:pPr>
        <w:pStyle w:val="GCZY"/>
        <w:rPr>
          <w:rFonts w:hint="default"/>
        </w:rPr>
      </w:pPr>
      <w:r>
        <w:t>湖南工程职业技术学院课程认证标准</w:t>
      </w:r>
    </w:p>
    <w:tbl>
      <w:tblPr>
        <w:tblStyle w:val="a6"/>
        <w:tblW w:w="8895" w:type="dxa"/>
        <w:tblLayout w:type="fixed"/>
        <w:tblLook w:val="04A0" w:firstRow="1" w:lastRow="0" w:firstColumn="1" w:lastColumn="0" w:noHBand="0" w:noVBand="1"/>
      </w:tblPr>
      <w:tblGrid>
        <w:gridCol w:w="864"/>
        <w:gridCol w:w="998"/>
        <w:gridCol w:w="12"/>
        <w:gridCol w:w="4381"/>
        <w:gridCol w:w="847"/>
        <w:gridCol w:w="1793"/>
      </w:tblGrid>
      <w:tr w:rsidR="000B7302" w14:paraId="7090A605" w14:textId="77777777">
        <w:tc>
          <w:tcPr>
            <w:tcW w:w="865" w:type="dxa"/>
            <w:vAlign w:val="center"/>
          </w:tcPr>
          <w:p w14:paraId="684D9608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一级</w:t>
            </w:r>
          </w:p>
          <w:p w14:paraId="1DB4DCE8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指标</w:t>
            </w:r>
          </w:p>
        </w:tc>
        <w:tc>
          <w:tcPr>
            <w:tcW w:w="998" w:type="dxa"/>
            <w:vAlign w:val="center"/>
          </w:tcPr>
          <w:p w14:paraId="158EF97C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二级指标</w:t>
            </w:r>
          </w:p>
        </w:tc>
        <w:tc>
          <w:tcPr>
            <w:tcW w:w="4391" w:type="dxa"/>
            <w:gridSpan w:val="2"/>
            <w:vAlign w:val="center"/>
          </w:tcPr>
          <w:p w14:paraId="3E78D537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观测点及要求</w:t>
            </w:r>
          </w:p>
        </w:tc>
        <w:tc>
          <w:tcPr>
            <w:tcW w:w="847" w:type="dxa"/>
            <w:vAlign w:val="center"/>
          </w:tcPr>
          <w:p w14:paraId="0EBF009A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赋分</w:t>
            </w:r>
          </w:p>
        </w:tc>
        <w:tc>
          <w:tcPr>
            <w:tcW w:w="1794" w:type="dxa"/>
            <w:vAlign w:val="center"/>
          </w:tcPr>
          <w:p w14:paraId="1F3B1DAC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观测材料清单</w:t>
            </w:r>
          </w:p>
        </w:tc>
      </w:tr>
      <w:tr w:rsidR="000B7302" w14:paraId="661470B3" w14:textId="77777777">
        <w:trPr>
          <w:trHeight w:val="937"/>
        </w:trPr>
        <w:tc>
          <w:tcPr>
            <w:tcW w:w="865" w:type="dxa"/>
            <w:vMerge w:val="restart"/>
            <w:vAlign w:val="center"/>
          </w:tcPr>
          <w:p w14:paraId="78860D92" w14:textId="5A59532A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课程建设情况</w:t>
            </w:r>
            <w:r w:rsidR="00622EBC"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>40%</w:t>
            </w:r>
            <w:r w:rsidR="00622EBC"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998" w:type="dxa"/>
            <w:vMerge w:val="restart"/>
            <w:vAlign w:val="center"/>
          </w:tcPr>
          <w:p w14:paraId="57C29C4D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课程定位与目标</w:t>
            </w:r>
          </w:p>
        </w:tc>
        <w:tc>
          <w:tcPr>
            <w:tcW w:w="4391" w:type="dxa"/>
            <w:gridSpan w:val="2"/>
          </w:tcPr>
          <w:p w14:paraId="564A0195" w14:textId="57853B71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落实立德树人根本任务，符合相应专业教学标准、人才培养方案要求，课程性质明确，与前、后接续课程衔接得当。</w:t>
            </w:r>
          </w:p>
        </w:tc>
        <w:tc>
          <w:tcPr>
            <w:tcW w:w="847" w:type="dxa"/>
            <w:vAlign w:val="center"/>
          </w:tcPr>
          <w:p w14:paraId="0E17A6F3" w14:textId="7AF1CAF4" w:rsidR="000B7302" w:rsidRDefault="00622EBC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1794" w:type="dxa"/>
            <w:vAlign w:val="center"/>
          </w:tcPr>
          <w:p w14:paraId="1186F57F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专业人才培养方案、课程标准</w:t>
            </w:r>
          </w:p>
        </w:tc>
      </w:tr>
      <w:tr w:rsidR="000B7302" w14:paraId="36EACEFD" w14:textId="77777777">
        <w:trPr>
          <w:trHeight w:val="674"/>
        </w:trPr>
        <w:tc>
          <w:tcPr>
            <w:tcW w:w="865" w:type="dxa"/>
            <w:vMerge/>
            <w:vAlign w:val="center"/>
          </w:tcPr>
          <w:p w14:paraId="6EA08967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/>
            <w:vAlign w:val="center"/>
          </w:tcPr>
          <w:p w14:paraId="1BAAEC1D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91" w:type="dxa"/>
            <w:gridSpan w:val="2"/>
          </w:tcPr>
          <w:p w14:paraId="36995E2E" w14:textId="0D3106AA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2．</w:t>
            </w:r>
            <w:r w:rsidR="00000000">
              <w:rPr>
                <w:rFonts w:ascii="宋体" w:eastAsia="宋体" w:hAnsi="宋体" w:cs="宋体" w:hint="eastAsia"/>
                <w:sz w:val="24"/>
              </w:rPr>
              <w:t>课程目标定位准确、条目清晰、内容具体、可评可测。</w:t>
            </w:r>
          </w:p>
        </w:tc>
        <w:tc>
          <w:tcPr>
            <w:tcW w:w="847" w:type="dxa"/>
            <w:vAlign w:val="center"/>
          </w:tcPr>
          <w:p w14:paraId="2FFD99F3" w14:textId="150CD6E0" w:rsidR="000B7302" w:rsidRDefault="00622EBC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1794" w:type="dxa"/>
            <w:vAlign w:val="center"/>
          </w:tcPr>
          <w:p w14:paraId="5C1B5B8B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课程标准</w:t>
            </w:r>
          </w:p>
        </w:tc>
      </w:tr>
      <w:tr w:rsidR="000B7302" w14:paraId="0A286DCF" w14:textId="77777777">
        <w:trPr>
          <w:trHeight w:val="1810"/>
        </w:trPr>
        <w:tc>
          <w:tcPr>
            <w:tcW w:w="865" w:type="dxa"/>
            <w:vMerge/>
            <w:vAlign w:val="center"/>
          </w:tcPr>
          <w:p w14:paraId="1A751860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297F6BF9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课程结构与内容</w:t>
            </w:r>
          </w:p>
        </w:tc>
        <w:tc>
          <w:tcPr>
            <w:tcW w:w="4391" w:type="dxa"/>
            <w:gridSpan w:val="2"/>
          </w:tcPr>
          <w:p w14:paraId="7A732F93" w14:textId="04AD50CB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课程内容组织与安排凸显职业教育类型特征，对接新产业、新业态、新模式、新职业，反映相关领域新方法、新技术、新工艺、新标准，体现行业企业参与特征，紧贴本专业相关技术领域职业岗位（群）的能力要求。</w:t>
            </w:r>
          </w:p>
        </w:tc>
        <w:tc>
          <w:tcPr>
            <w:tcW w:w="847" w:type="dxa"/>
            <w:vAlign w:val="center"/>
          </w:tcPr>
          <w:p w14:paraId="4498E4DC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</w:t>
            </w:r>
          </w:p>
        </w:tc>
        <w:tc>
          <w:tcPr>
            <w:tcW w:w="1794" w:type="dxa"/>
            <w:vAlign w:val="center"/>
          </w:tcPr>
          <w:p w14:paraId="44188C54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课程改革调研报告（含职业岗位与职业能力对应一览表）、课程改革实施指南</w:t>
            </w:r>
          </w:p>
        </w:tc>
      </w:tr>
      <w:tr w:rsidR="000B7302" w14:paraId="4FC1C614" w14:textId="77777777">
        <w:trPr>
          <w:trHeight w:val="1037"/>
        </w:trPr>
        <w:tc>
          <w:tcPr>
            <w:tcW w:w="865" w:type="dxa"/>
            <w:vMerge/>
            <w:vAlign w:val="center"/>
          </w:tcPr>
          <w:p w14:paraId="4A044CF5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/>
            <w:vAlign w:val="center"/>
          </w:tcPr>
          <w:p w14:paraId="1B762EBA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91" w:type="dxa"/>
            <w:gridSpan w:val="2"/>
          </w:tcPr>
          <w:p w14:paraId="2CE66A0C" w14:textId="2C2020DB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2．</w:t>
            </w:r>
            <w:r w:rsidR="00000000">
              <w:rPr>
                <w:rFonts w:ascii="宋体" w:eastAsia="宋体" w:hAnsi="宋体" w:cs="宋体" w:hint="eastAsia"/>
                <w:sz w:val="24"/>
              </w:rPr>
              <w:t>课程内容完整、结构合理、逻辑清晰，学习单元划分合理、衔接有序、教学学时分配合理。</w:t>
            </w:r>
          </w:p>
        </w:tc>
        <w:tc>
          <w:tcPr>
            <w:tcW w:w="847" w:type="dxa"/>
            <w:vAlign w:val="center"/>
          </w:tcPr>
          <w:p w14:paraId="2BBF0D62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1794" w:type="dxa"/>
            <w:vAlign w:val="center"/>
          </w:tcPr>
          <w:p w14:paraId="4D4EDA22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专业人才培养方案、课程标准、授课计划</w:t>
            </w:r>
          </w:p>
        </w:tc>
      </w:tr>
      <w:tr w:rsidR="000B7302" w14:paraId="4F2624CF" w14:textId="77777777">
        <w:trPr>
          <w:trHeight w:val="625"/>
        </w:trPr>
        <w:tc>
          <w:tcPr>
            <w:tcW w:w="865" w:type="dxa"/>
            <w:vMerge/>
            <w:vAlign w:val="center"/>
          </w:tcPr>
          <w:p w14:paraId="4391997E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3799982F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课程标准完整与规范</w:t>
            </w:r>
          </w:p>
        </w:tc>
        <w:tc>
          <w:tcPr>
            <w:tcW w:w="4391" w:type="dxa"/>
            <w:gridSpan w:val="2"/>
            <w:vAlign w:val="center"/>
          </w:tcPr>
          <w:p w14:paraId="68801F07" w14:textId="30245364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课程标准涵盖的内容完整，课程基本信息准确，对人才培养具有较强的指导作用。</w:t>
            </w:r>
          </w:p>
        </w:tc>
        <w:tc>
          <w:tcPr>
            <w:tcW w:w="847" w:type="dxa"/>
            <w:vAlign w:val="center"/>
          </w:tcPr>
          <w:p w14:paraId="05E5D223" w14:textId="1CD4F96E" w:rsidR="000B7302" w:rsidRDefault="00622EBC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1794" w:type="dxa"/>
            <w:vAlign w:val="center"/>
          </w:tcPr>
          <w:p w14:paraId="40F12B83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课程标准</w:t>
            </w:r>
          </w:p>
        </w:tc>
      </w:tr>
      <w:tr w:rsidR="000B7302" w14:paraId="37DD5E9C" w14:textId="77777777">
        <w:trPr>
          <w:trHeight w:val="416"/>
        </w:trPr>
        <w:tc>
          <w:tcPr>
            <w:tcW w:w="865" w:type="dxa"/>
            <w:vMerge/>
            <w:vAlign w:val="center"/>
          </w:tcPr>
          <w:p w14:paraId="49878E0A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/>
            <w:vAlign w:val="center"/>
          </w:tcPr>
          <w:p w14:paraId="41F7A15E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91" w:type="dxa"/>
            <w:gridSpan w:val="2"/>
          </w:tcPr>
          <w:p w14:paraId="61BF03B9" w14:textId="7B6AA234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2．</w:t>
            </w:r>
            <w:r w:rsidR="00000000">
              <w:rPr>
                <w:rFonts w:ascii="宋体" w:eastAsia="宋体" w:hAnsi="宋体" w:cs="宋体" w:hint="eastAsia"/>
                <w:sz w:val="24"/>
              </w:rPr>
              <w:t>课程标准格式规范，体系科学合理，能有效指导课程建设与实际授课。</w:t>
            </w:r>
          </w:p>
        </w:tc>
        <w:tc>
          <w:tcPr>
            <w:tcW w:w="847" w:type="dxa"/>
            <w:vAlign w:val="center"/>
          </w:tcPr>
          <w:p w14:paraId="05A1B6DE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605517B3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课程标准</w:t>
            </w:r>
          </w:p>
        </w:tc>
      </w:tr>
      <w:tr w:rsidR="000B7302" w14:paraId="181F7511" w14:textId="77777777">
        <w:trPr>
          <w:trHeight w:val="794"/>
        </w:trPr>
        <w:tc>
          <w:tcPr>
            <w:tcW w:w="865" w:type="dxa"/>
            <w:vMerge/>
            <w:vAlign w:val="center"/>
          </w:tcPr>
          <w:p w14:paraId="422B3610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/>
            <w:vAlign w:val="center"/>
          </w:tcPr>
          <w:p w14:paraId="20D34370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91" w:type="dxa"/>
            <w:gridSpan w:val="2"/>
          </w:tcPr>
          <w:p w14:paraId="47A43A9C" w14:textId="622C5D36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3．</w:t>
            </w:r>
            <w:r w:rsidR="00000000">
              <w:rPr>
                <w:rFonts w:ascii="宋体" w:eastAsia="宋体" w:hAnsi="宋体" w:cs="宋体" w:hint="eastAsia"/>
                <w:sz w:val="24"/>
              </w:rPr>
              <w:t>课程标准体现的课程资源类型丰富、内容多样，能够满足学校教学和学习者学习需求，做到能学辅教。</w:t>
            </w:r>
          </w:p>
        </w:tc>
        <w:tc>
          <w:tcPr>
            <w:tcW w:w="847" w:type="dxa"/>
            <w:vAlign w:val="center"/>
          </w:tcPr>
          <w:p w14:paraId="0CA0266B" w14:textId="72814E8B" w:rsidR="000B7302" w:rsidRDefault="00622EBC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1794" w:type="dxa"/>
            <w:vAlign w:val="center"/>
          </w:tcPr>
          <w:p w14:paraId="68EE06B7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课程标准</w:t>
            </w:r>
          </w:p>
        </w:tc>
      </w:tr>
      <w:tr w:rsidR="000B7302" w14:paraId="0605AF99" w14:textId="77777777">
        <w:trPr>
          <w:trHeight w:val="424"/>
        </w:trPr>
        <w:tc>
          <w:tcPr>
            <w:tcW w:w="865" w:type="dxa"/>
            <w:vMerge/>
            <w:vAlign w:val="center"/>
          </w:tcPr>
          <w:p w14:paraId="29943EB1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31A7F75F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成员构成与要求</w:t>
            </w:r>
          </w:p>
        </w:tc>
        <w:tc>
          <w:tcPr>
            <w:tcW w:w="4391" w:type="dxa"/>
            <w:gridSpan w:val="2"/>
          </w:tcPr>
          <w:p w14:paraId="5548A606" w14:textId="098203BF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教学团队结构合理（“双师型”教师占比≥80%，企业兼职教师占比≥20%），师德师风优良，教学表现力和亲和力强，教学成果积累丰富，教学改革意识强。</w:t>
            </w:r>
          </w:p>
        </w:tc>
        <w:tc>
          <w:tcPr>
            <w:tcW w:w="847" w:type="dxa"/>
            <w:vAlign w:val="center"/>
          </w:tcPr>
          <w:p w14:paraId="3585053A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1794" w:type="dxa"/>
            <w:vAlign w:val="center"/>
          </w:tcPr>
          <w:p w14:paraId="33D2C11F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课程团队情况一览表、课表、成员教研情况</w:t>
            </w:r>
          </w:p>
        </w:tc>
      </w:tr>
      <w:tr w:rsidR="000B7302" w14:paraId="12B9584A" w14:textId="77777777">
        <w:trPr>
          <w:trHeight w:val="1320"/>
        </w:trPr>
        <w:tc>
          <w:tcPr>
            <w:tcW w:w="865" w:type="dxa"/>
            <w:vMerge/>
            <w:vAlign w:val="center"/>
          </w:tcPr>
          <w:p w14:paraId="28BCCC15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/>
            <w:vAlign w:val="center"/>
          </w:tcPr>
          <w:p w14:paraId="0138F854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91" w:type="dxa"/>
            <w:gridSpan w:val="2"/>
          </w:tcPr>
          <w:p w14:paraId="58DCC69D" w14:textId="03D75521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2．</w:t>
            </w:r>
            <w:r w:rsidR="00000000">
              <w:rPr>
                <w:rFonts w:ascii="宋体" w:eastAsia="宋体" w:hAnsi="宋体" w:cs="宋体" w:hint="eastAsia"/>
                <w:sz w:val="24"/>
              </w:rPr>
              <w:t>课程负责人应具有中级以上专业技术职务，具有丰富的教学经验和扎实专业功底，在本专业领域具有一定影响力。同一课程负责人牵头的课程限推荐一门。</w:t>
            </w:r>
          </w:p>
        </w:tc>
        <w:tc>
          <w:tcPr>
            <w:tcW w:w="847" w:type="dxa"/>
            <w:vAlign w:val="center"/>
          </w:tcPr>
          <w:p w14:paraId="19B4882F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94" w:type="dxa"/>
            <w:vAlign w:val="center"/>
          </w:tcPr>
          <w:p w14:paraId="77FB8EC0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课程团队情况一览表</w:t>
            </w:r>
          </w:p>
        </w:tc>
      </w:tr>
      <w:tr w:rsidR="000B7302" w14:paraId="5DA142AC" w14:textId="77777777">
        <w:trPr>
          <w:trHeight w:val="421"/>
        </w:trPr>
        <w:tc>
          <w:tcPr>
            <w:tcW w:w="865" w:type="dxa"/>
            <w:vMerge/>
            <w:vAlign w:val="center"/>
          </w:tcPr>
          <w:p w14:paraId="4A19838C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4AD1D171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课程资源建设及选用要求</w:t>
            </w:r>
          </w:p>
        </w:tc>
        <w:tc>
          <w:tcPr>
            <w:tcW w:w="4391" w:type="dxa"/>
            <w:gridSpan w:val="2"/>
          </w:tcPr>
          <w:p w14:paraId="357D9F0E" w14:textId="4CFE2591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教案（含教学设计）、课件、微课、习题库、知识图谱、能力图谱、企业真实项目教学案例库、课程思政案例库等教学资源的完整性、先进性、数智性与适用性。</w:t>
            </w:r>
          </w:p>
        </w:tc>
        <w:tc>
          <w:tcPr>
            <w:tcW w:w="847" w:type="dxa"/>
            <w:vAlign w:val="center"/>
          </w:tcPr>
          <w:p w14:paraId="784FA89C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14</w:t>
            </w:r>
          </w:p>
        </w:tc>
        <w:tc>
          <w:tcPr>
            <w:tcW w:w="1794" w:type="dxa"/>
            <w:vAlign w:val="center"/>
          </w:tcPr>
          <w:p w14:paraId="494D6894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智慧职教平台资源建设情况</w:t>
            </w:r>
          </w:p>
        </w:tc>
      </w:tr>
      <w:tr w:rsidR="000B7302" w14:paraId="05E811C9" w14:textId="77777777">
        <w:trPr>
          <w:trHeight w:val="625"/>
        </w:trPr>
        <w:tc>
          <w:tcPr>
            <w:tcW w:w="865" w:type="dxa"/>
            <w:vMerge/>
            <w:vAlign w:val="center"/>
          </w:tcPr>
          <w:p w14:paraId="2B5AE109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998" w:type="dxa"/>
            <w:vMerge/>
          </w:tcPr>
          <w:p w14:paraId="2492CAA1" w14:textId="77777777" w:rsidR="000B7302" w:rsidRDefault="000B7302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91" w:type="dxa"/>
            <w:gridSpan w:val="2"/>
          </w:tcPr>
          <w:p w14:paraId="5BBB8BC7" w14:textId="79F1DCB7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2．</w:t>
            </w:r>
            <w:r w:rsidR="00000000">
              <w:rPr>
                <w:rFonts w:ascii="宋体" w:eastAsia="宋体" w:hAnsi="宋体" w:cs="宋体" w:hint="eastAsia"/>
                <w:sz w:val="24"/>
              </w:rPr>
              <w:t>教材选用合理，符合有关规定和教学需求。</w:t>
            </w:r>
          </w:p>
        </w:tc>
        <w:tc>
          <w:tcPr>
            <w:tcW w:w="847" w:type="dxa"/>
            <w:vAlign w:val="center"/>
          </w:tcPr>
          <w:p w14:paraId="0FEC712E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7DAF9ED0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教材选用情况</w:t>
            </w:r>
          </w:p>
        </w:tc>
      </w:tr>
      <w:tr w:rsidR="000B7302" w14:paraId="176CFF25" w14:textId="77777777">
        <w:trPr>
          <w:trHeight w:val="294"/>
        </w:trPr>
        <w:tc>
          <w:tcPr>
            <w:tcW w:w="865" w:type="dxa"/>
            <w:vMerge w:val="restart"/>
            <w:vAlign w:val="center"/>
          </w:tcPr>
          <w:p w14:paraId="105575C3" w14:textId="1C363B5B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课程实施情况</w:t>
            </w:r>
            <w:r w:rsidR="00622EBC"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>30%</w:t>
            </w:r>
            <w:r w:rsidR="00622EBC"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1005" w:type="dxa"/>
            <w:gridSpan w:val="2"/>
            <w:vMerge w:val="restart"/>
            <w:vAlign w:val="center"/>
          </w:tcPr>
          <w:p w14:paraId="6E0E2170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线上教学活动与过程</w:t>
            </w:r>
          </w:p>
        </w:tc>
        <w:tc>
          <w:tcPr>
            <w:tcW w:w="4384" w:type="dxa"/>
          </w:tcPr>
          <w:p w14:paraId="6F073215" w14:textId="49B23D0C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各项教学活动完整、有效，教学过程可回溯，关注教与学全过程的信息采集，教学过程材料完整。</w:t>
            </w:r>
          </w:p>
        </w:tc>
        <w:tc>
          <w:tcPr>
            <w:tcW w:w="847" w:type="dxa"/>
            <w:vAlign w:val="center"/>
          </w:tcPr>
          <w:p w14:paraId="3F7C6436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1794" w:type="dxa"/>
            <w:vMerge w:val="restart"/>
            <w:vAlign w:val="center"/>
          </w:tcPr>
          <w:p w14:paraId="6C4C0D55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智慧职教平台使用数据</w:t>
            </w:r>
          </w:p>
        </w:tc>
      </w:tr>
      <w:tr w:rsidR="000B7302" w14:paraId="0FA725F9" w14:textId="77777777">
        <w:trPr>
          <w:trHeight w:val="292"/>
        </w:trPr>
        <w:tc>
          <w:tcPr>
            <w:tcW w:w="865" w:type="dxa"/>
            <w:vMerge/>
            <w:vAlign w:val="center"/>
          </w:tcPr>
          <w:p w14:paraId="70CC0796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/>
            <w:vAlign w:val="center"/>
          </w:tcPr>
          <w:p w14:paraId="4A63C005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84" w:type="dxa"/>
          </w:tcPr>
          <w:p w14:paraId="70981BB7" w14:textId="6AA049C9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2．</w:t>
            </w:r>
            <w:r w:rsidR="00000000">
              <w:rPr>
                <w:rFonts w:ascii="宋体" w:eastAsia="宋体" w:hAnsi="宋体" w:cs="宋体" w:hint="eastAsia"/>
                <w:sz w:val="24"/>
              </w:rPr>
              <w:t>合理使用信息技术手段创新教学模式，能够激发学生学习兴趣和潜能。</w:t>
            </w:r>
          </w:p>
        </w:tc>
        <w:tc>
          <w:tcPr>
            <w:tcW w:w="847" w:type="dxa"/>
            <w:vAlign w:val="center"/>
          </w:tcPr>
          <w:p w14:paraId="32A983E9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1794" w:type="dxa"/>
            <w:vMerge/>
          </w:tcPr>
          <w:p w14:paraId="1784E997" w14:textId="77777777" w:rsidR="000B7302" w:rsidRDefault="000B7302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0B7302" w14:paraId="1EA20877" w14:textId="77777777">
        <w:trPr>
          <w:trHeight w:val="499"/>
        </w:trPr>
        <w:tc>
          <w:tcPr>
            <w:tcW w:w="865" w:type="dxa"/>
            <w:vMerge/>
            <w:vAlign w:val="center"/>
          </w:tcPr>
          <w:p w14:paraId="634F15B2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/>
            <w:vAlign w:val="center"/>
          </w:tcPr>
          <w:p w14:paraId="7B15A23F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84" w:type="dxa"/>
          </w:tcPr>
          <w:p w14:paraId="126CAC19" w14:textId="4B1F9113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3．</w:t>
            </w:r>
            <w:r w:rsidR="00000000">
              <w:rPr>
                <w:rFonts w:ascii="宋体" w:eastAsia="宋体" w:hAnsi="宋体" w:cs="宋体" w:hint="eastAsia"/>
                <w:sz w:val="24"/>
              </w:rPr>
              <w:t>提供充足的学习支持服务，促进师生之间、学生之间进行资源共享、问题交流和协作学习，实现师生、生生的深度有效互动。</w:t>
            </w:r>
          </w:p>
        </w:tc>
        <w:tc>
          <w:tcPr>
            <w:tcW w:w="847" w:type="dxa"/>
            <w:vAlign w:val="center"/>
          </w:tcPr>
          <w:p w14:paraId="57116162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1794" w:type="dxa"/>
            <w:vMerge/>
          </w:tcPr>
          <w:p w14:paraId="1CCB6A7F" w14:textId="77777777" w:rsidR="000B7302" w:rsidRDefault="000B7302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0B7302" w14:paraId="1793479E" w14:textId="77777777">
        <w:tc>
          <w:tcPr>
            <w:tcW w:w="865" w:type="dxa"/>
            <w:vMerge/>
          </w:tcPr>
          <w:p w14:paraId="2BD6FDA0" w14:textId="77777777" w:rsidR="000B7302" w:rsidRDefault="000B7302">
            <w:pPr>
              <w:spacing w:line="576" w:lineRule="exac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 w:val="restart"/>
            <w:vAlign w:val="center"/>
          </w:tcPr>
          <w:p w14:paraId="2E71AB71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线下教学活动与过程</w:t>
            </w:r>
          </w:p>
        </w:tc>
        <w:tc>
          <w:tcPr>
            <w:tcW w:w="4384" w:type="dxa"/>
            <w:vAlign w:val="center"/>
          </w:tcPr>
          <w:p w14:paraId="60A93996" w14:textId="11595C79" w:rsidR="000B7302" w:rsidRDefault="00622EBC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出勤率、抬头率、互动率。</w:t>
            </w:r>
          </w:p>
        </w:tc>
        <w:tc>
          <w:tcPr>
            <w:tcW w:w="847" w:type="dxa"/>
            <w:vAlign w:val="center"/>
          </w:tcPr>
          <w:p w14:paraId="59B88AA1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1794" w:type="dxa"/>
            <w:vAlign w:val="center"/>
          </w:tcPr>
          <w:p w14:paraId="34465A2E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随机抽查2次，取2次抽查平均值</w:t>
            </w:r>
          </w:p>
        </w:tc>
      </w:tr>
      <w:tr w:rsidR="000B7302" w14:paraId="1047F676" w14:textId="77777777">
        <w:tc>
          <w:tcPr>
            <w:tcW w:w="865" w:type="dxa"/>
            <w:vMerge/>
          </w:tcPr>
          <w:p w14:paraId="1F2253AA" w14:textId="77777777" w:rsidR="000B7302" w:rsidRDefault="000B7302">
            <w:pPr>
              <w:spacing w:line="576" w:lineRule="exac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/>
            <w:vAlign w:val="center"/>
          </w:tcPr>
          <w:p w14:paraId="33925F67" w14:textId="77777777" w:rsidR="000B7302" w:rsidRDefault="000B7302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84" w:type="dxa"/>
            <w:vAlign w:val="center"/>
          </w:tcPr>
          <w:p w14:paraId="6BE3895D" w14:textId="62746EC5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2．</w:t>
            </w:r>
            <w:r w:rsidR="00000000">
              <w:rPr>
                <w:rFonts w:ascii="宋体" w:eastAsia="宋体" w:hAnsi="宋体" w:cs="宋体"/>
                <w:sz w:val="24"/>
              </w:rPr>
              <w:t>构建“校内教师+企业导师”双师授课模式，依托情境教学、角色扮演及企业真实项目等实践载体，引导学生在沉浸式实践体验中深化对思政内涵的认知与感悟。</w:t>
            </w:r>
          </w:p>
        </w:tc>
        <w:tc>
          <w:tcPr>
            <w:tcW w:w="847" w:type="dxa"/>
            <w:vMerge w:val="restart"/>
            <w:vAlign w:val="center"/>
          </w:tcPr>
          <w:p w14:paraId="357D55B6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14</w:t>
            </w:r>
          </w:p>
        </w:tc>
        <w:tc>
          <w:tcPr>
            <w:tcW w:w="1794" w:type="dxa"/>
            <w:vAlign w:val="center"/>
          </w:tcPr>
          <w:p w14:paraId="6D606A2F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教案、课堂教学记录</w:t>
            </w:r>
          </w:p>
        </w:tc>
      </w:tr>
      <w:tr w:rsidR="000B7302" w14:paraId="4706CC72" w14:textId="77777777">
        <w:tc>
          <w:tcPr>
            <w:tcW w:w="865" w:type="dxa"/>
            <w:vMerge/>
          </w:tcPr>
          <w:p w14:paraId="431D7AA6" w14:textId="77777777" w:rsidR="000B7302" w:rsidRDefault="000B7302">
            <w:pPr>
              <w:spacing w:line="576" w:lineRule="exac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/>
            <w:vAlign w:val="center"/>
          </w:tcPr>
          <w:p w14:paraId="013F3452" w14:textId="77777777" w:rsidR="000B7302" w:rsidRDefault="000B7302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84" w:type="dxa"/>
            <w:vAlign w:val="center"/>
          </w:tcPr>
          <w:p w14:paraId="7B2030BF" w14:textId="3C86748D" w:rsidR="000B7302" w:rsidRDefault="00622EBC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3．</w:t>
            </w:r>
            <w:r w:rsidR="00000000">
              <w:rPr>
                <w:rFonts w:ascii="宋体" w:eastAsia="宋体" w:hAnsi="宋体" w:cs="宋体" w:hint="eastAsia"/>
                <w:sz w:val="24"/>
              </w:rPr>
              <w:t>理实一体化课程中实训观测点：</w:t>
            </w:r>
            <w:r w:rsidR="00000000">
              <w:rPr>
                <w:rFonts w:ascii="宋体" w:eastAsia="宋体" w:hAnsi="宋体" w:cs="宋体"/>
                <w:sz w:val="24"/>
              </w:rPr>
              <w:t>①</w:t>
            </w:r>
            <w:r w:rsidR="00000000">
              <w:rPr>
                <w:rFonts w:ascii="宋体" w:eastAsia="宋体" w:hAnsi="宋体" w:cs="宋体" w:hint="eastAsia"/>
                <w:sz w:val="24"/>
              </w:rPr>
              <w:t>教师教学行为：课前：是否提前明确实训任务书，是否检查学生预习情况；课中：是否先进行“示范讲解”，是否对学生分组指导，是否及时纠正学生不规范操作；课后：是否布置“实训报告/反思任务”，是否针对学生问题进行二次辅导。</w:t>
            </w:r>
            <w:r w:rsidR="00000000">
              <w:rPr>
                <w:rFonts w:ascii="宋体" w:eastAsia="宋体" w:hAnsi="宋体" w:cs="宋体"/>
                <w:sz w:val="24"/>
              </w:rPr>
              <w:t>②</w:t>
            </w:r>
            <w:r w:rsidR="00000000">
              <w:rPr>
                <w:rFonts w:ascii="宋体" w:eastAsia="宋体" w:hAnsi="宋体" w:cs="宋体" w:hint="eastAsia"/>
                <w:sz w:val="24"/>
              </w:rPr>
              <w:t>学生参与状态：动手率：是否实现“人人动手”；专注度：是否存在“玩手机、闲聊”等脱离实训的行为，是否主动提问、主动尝试解决问题；协作性：团队实训任务中，是否存在有效分工，是否能通过沟通解决协作矛盾。</w:t>
            </w:r>
          </w:p>
        </w:tc>
        <w:tc>
          <w:tcPr>
            <w:tcW w:w="847" w:type="dxa"/>
            <w:vMerge/>
            <w:vAlign w:val="center"/>
          </w:tcPr>
          <w:p w14:paraId="1BBEAAFA" w14:textId="77777777" w:rsidR="000B7302" w:rsidRDefault="000B7302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794" w:type="dxa"/>
            <w:vAlign w:val="center"/>
          </w:tcPr>
          <w:p w14:paraId="7A0F162F" w14:textId="77777777" w:rsidR="000B7302" w:rsidRDefault="00000000">
            <w:pPr>
              <w:adjustRightInd w:val="0"/>
              <w:snapToGrid w:val="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实训指导书、实训课程记录等</w:t>
            </w:r>
          </w:p>
        </w:tc>
      </w:tr>
      <w:tr w:rsidR="000B7302" w14:paraId="2C62F3D8" w14:textId="77777777">
        <w:trPr>
          <w:trHeight w:val="922"/>
        </w:trPr>
        <w:tc>
          <w:tcPr>
            <w:tcW w:w="865" w:type="dxa"/>
            <w:vMerge w:val="restart"/>
            <w:vAlign w:val="center"/>
          </w:tcPr>
          <w:p w14:paraId="07508B99" w14:textId="1154ED8C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课程教学成效</w:t>
            </w:r>
            <w:r w:rsidR="00622EBC">
              <w:rPr>
                <w:rFonts w:ascii="宋体" w:eastAsia="宋体" w:hAnsi="宋体" w:cs="宋体" w:hint="eastAsia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sz w:val="24"/>
              </w:rPr>
              <w:t>30%</w:t>
            </w:r>
            <w:r w:rsidR="00622EBC"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1005" w:type="dxa"/>
            <w:gridSpan w:val="2"/>
            <w:vMerge w:val="restart"/>
            <w:vAlign w:val="center"/>
          </w:tcPr>
          <w:p w14:paraId="3804D657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学习考核与评价</w:t>
            </w:r>
          </w:p>
        </w:tc>
        <w:tc>
          <w:tcPr>
            <w:tcW w:w="4384" w:type="dxa"/>
            <w:vAlign w:val="center"/>
          </w:tcPr>
          <w:p w14:paraId="6F586287" w14:textId="44FB7162" w:rsidR="000B7302" w:rsidRDefault="00622EBC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建立多元化学习评价体系，不断改进结果评价，强化过程评价，探索增值评价，健全综合评价。</w:t>
            </w:r>
          </w:p>
        </w:tc>
        <w:tc>
          <w:tcPr>
            <w:tcW w:w="847" w:type="dxa"/>
            <w:vAlign w:val="center"/>
          </w:tcPr>
          <w:p w14:paraId="5FC95C66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1794" w:type="dxa"/>
            <w:vAlign w:val="center"/>
          </w:tcPr>
          <w:p w14:paraId="45882943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课程标准、</w:t>
            </w:r>
          </w:p>
          <w:p w14:paraId="0B1307A2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学生成绩评价表</w:t>
            </w:r>
          </w:p>
        </w:tc>
      </w:tr>
      <w:tr w:rsidR="000B7302" w14:paraId="420FC828" w14:textId="77777777">
        <w:trPr>
          <w:trHeight w:val="884"/>
        </w:trPr>
        <w:tc>
          <w:tcPr>
            <w:tcW w:w="865" w:type="dxa"/>
            <w:vMerge/>
            <w:vAlign w:val="center"/>
          </w:tcPr>
          <w:p w14:paraId="14B09E1D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/>
            <w:vAlign w:val="center"/>
          </w:tcPr>
          <w:p w14:paraId="115131CC" w14:textId="77777777" w:rsidR="000B7302" w:rsidRDefault="000B7302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84" w:type="dxa"/>
            <w:vAlign w:val="center"/>
          </w:tcPr>
          <w:p w14:paraId="03A92675" w14:textId="19915911" w:rsidR="000B7302" w:rsidRDefault="00622EBC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2．</w:t>
            </w:r>
            <w:r w:rsidR="00000000">
              <w:rPr>
                <w:rFonts w:ascii="宋体" w:eastAsia="宋体" w:hAnsi="宋体" w:cs="宋体" w:hint="eastAsia"/>
                <w:sz w:val="24"/>
              </w:rPr>
              <w:t>探索基于大数据的信息采集分析，全程记录和跟踪教师的教学和学生学习过程，形成教与学的正向反馈。</w:t>
            </w:r>
          </w:p>
        </w:tc>
        <w:tc>
          <w:tcPr>
            <w:tcW w:w="847" w:type="dxa"/>
            <w:vAlign w:val="center"/>
          </w:tcPr>
          <w:p w14:paraId="29433B8F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1794" w:type="dxa"/>
            <w:vAlign w:val="center"/>
          </w:tcPr>
          <w:p w14:paraId="304CEF22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智慧职教平台学生线上学习成绩评定情况</w:t>
            </w:r>
          </w:p>
        </w:tc>
      </w:tr>
      <w:tr w:rsidR="000B7302" w14:paraId="10FF20FA" w14:textId="77777777">
        <w:trPr>
          <w:trHeight w:val="928"/>
        </w:trPr>
        <w:tc>
          <w:tcPr>
            <w:tcW w:w="865" w:type="dxa"/>
            <w:vMerge/>
            <w:vAlign w:val="center"/>
          </w:tcPr>
          <w:p w14:paraId="3C0B3026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/>
            <w:vAlign w:val="center"/>
          </w:tcPr>
          <w:p w14:paraId="34B339D5" w14:textId="77777777" w:rsidR="000B7302" w:rsidRDefault="000B7302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84" w:type="dxa"/>
            <w:vAlign w:val="center"/>
          </w:tcPr>
          <w:p w14:paraId="19BEC7C8" w14:textId="5509EF90" w:rsidR="000B7302" w:rsidRDefault="00622EBC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3．</w:t>
            </w:r>
            <w:r w:rsidR="00000000">
              <w:rPr>
                <w:rFonts w:ascii="宋体" w:eastAsia="宋体" w:hAnsi="宋体" w:cs="宋体" w:hint="eastAsia"/>
                <w:sz w:val="24"/>
              </w:rPr>
              <w:t>课程建设过程中，不断完善课程考核评价机制，有效反思课程建设的经验与不足，教学诊断改进积极有效。</w:t>
            </w:r>
          </w:p>
        </w:tc>
        <w:tc>
          <w:tcPr>
            <w:tcW w:w="847" w:type="dxa"/>
            <w:vAlign w:val="center"/>
          </w:tcPr>
          <w:p w14:paraId="5E1A4001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</w:t>
            </w:r>
          </w:p>
        </w:tc>
        <w:tc>
          <w:tcPr>
            <w:tcW w:w="1794" w:type="dxa"/>
            <w:vAlign w:val="center"/>
          </w:tcPr>
          <w:p w14:paraId="4E088C38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教案中的教学反思</w:t>
            </w:r>
          </w:p>
        </w:tc>
      </w:tr>
      <w:tr w:rsidR="000B7302" w14:paraId="2552DBFA" w14:textId="77777777">
        <w:tc>
          <w:tcPr>
            <w:tcW w:w="865" w:type="dxa"/>
            <w:vMerge/>
            <w:vAlign w:val="center"/>
          </w:tcPr>
          <w:p w14:paraId="434B64E2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 w:val="restart"/>
            <w:vAlign w:val="center"/>
          </w:tcPr>
          <w:p w14:paraId="614FD9B9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教学评价</w:t>
            </w:r>
          </w:p>
        </w:tc>
        <w:tc>
          <w:tcPr>
            <w:tcW w:w="4384" w:type="dxa"/>
            <w:vAlign w:val="center"/>
          </w:tcPr>
          <w:p w14:paraId="6B339D6C" w14:textId="27164A29" w:rsidR="000B7302" w:rsidRDefault="00622EBC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1．</w:t>
            </w:r>
            <w:r w:rsidR="00000000">
              <w:rPr>
                <w:rFonts w:ascii="宋体" w:eastAsia="宋体" w:hAnsi="宋体" w:cs="宋体" w:hint="eastAsia"/>
                <w:sz w:val="24"/>
              </w:rPr>
              <w:t>教师自评。</w:t>
            </w:r>
          </w:p>
        </w:tc>
        <w:tc>
          <w:tcPr>
            <w:tcW w:w="847" w:type="dxa"/>
            <w:vAlign w:val="center"/>
          </w:tcPr>
          <w:p w14:paraId="0A9B15F6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94" w:type="dxa"/>
            <w:vAlign w:val="center"/>
          </w:tcPr>
          <w:p w14:paraId="1A9811C7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教师自评表</w:t>
            </w:r>
          </w:p>
        </w:tc>
      </w:tr>
      <w:tr w:rsidR="000B7302" w14:paraId="14FAE4AE" w14:textId="77777777">
        <w:tc>
          <w:tcPr>
            <w:tcW w:w="865" w:type="dxa"/>
            <w:vMerge/>
          </w:tcPr>
          <w:p w14:paraId="0B9602B5" w14:textId="77777777" w:rsidR="000B7302" w:rsidRDefault="000B7302">
            <w:pPr>
              <w:spacing w:line="576" w:lineRule="exac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/>
          </w:tcPr>
          <w:p w14:paraId="2D11E2F6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84" w:type="dxa"/>
            <w:vAlign w:val="center"/>
          </w:tcPr>
          <w:p w14:paraId="3784B47C" w14:textId="7D0B6EC2" w:rsidR="000B7302" w:rsidRDefault="00622EBC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2．</w:t>
            </w:r>
            <w:r w:rsidR="00000000">
              <w:rPr>
                <w:rFonts w:ascii="宋体" w:eastAsia="宋体" w:hAnsi="宋体" w:cs="宋体" w:hint="eastAsia"/>
                <w:sz w:val="24"/>
              </w:rPr>
              <w:t>同行评价。</w:t>
            </w:r>
          </w:p>
        </w:tc>
        <w:tc>
          <w:tcPr>
            <w:tcW w:w="847" w:type="dxa"/>
            <w:vAlign w:val="center"/>
          </w:tcPr>
          <w:p w14:paraId="4E0E664E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94" w:type="dxa"/>
            <w:vAlign w:val="center"/>
          </w:tcPr>
          <w:p w14:paraId="484DBF44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听课评议表</w:t>
            </w:r>
          </w:p>
        </w:tc>
      </w:tr>
      <w:tr w:rsidR="000B7302" w14:paraId="3CA02CA7" w14:textId="77777777">
        <w:tc>
          <w:tcPr>
            <w:tcW w:w="865" w:type="dxa"/>
            <w:vMerge/>
          </w:tcPr>
          <w:p w14:paraId="6DB4403E" w14:textId="77777777" w:rsidR="000B7302" w:rsidRDefault="000B7302">
            <w:pPr>
              <w:spacing w:line="576" w:lineRule="exac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/>
          </w:tcPr>
          <w:p w14:paraId="56B9E487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84" w:type="dxa"/>
            <w:vAlign w:val="center"/>
          </w:tcPr>
          <w:p w14:paraId="762CDC92" w14:textId="010545DE" w:rsidR="000B7302" w:rsidRDefault="00622EBC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3．</w:t>
            </w:r>
            <w:r w:rsidR="00000000">
              <w:rPr>
                <w:rFonts w:ascii="宋体" w:eastAsia="宋体" w:hAnsi="宋体" w:cs="宋体" w:hint="eastAsia"/>
                <w:sz w:val="24"/>
              </w:rPr>
              <w:t>督导评价。</w:t>
            </w:r>
          </w:p>
        </w:tc>
        <w:tc>
          <w:tcPr>
            <w:tcW w:w="847" w:type="dxa"/>
            <w:vAlign w:val="center"/>
          </w:tcPr>
          <w:p w14:paraId="613101F2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1794" w:type="dxa"/>
            <w:vAlign w:val="center"/>
          </w:tcPr>
          <w:p w14:paraId="21E46E7E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听课评议表</w:t>
            </w:r>
          </w:p>
        </w:tc>
      </w:tr>
      <w:tr w:rsidR="000B7302" w14:paraId="4C97D431" w14:textId="77777777">
        <w:tc>
          <w:tcPr>
            <w:tcW w:w="865" w:type="dxa"/>
            <w:vMerge/>
          </w:tcPr>
          <w:p w14:paraId="0C13BE3E" w14:textId="77777777" w:rsidR="000B7302" w:rsidRDefault="000B7302">
            <w:pPr>
              <w:spacing w:line="576" w:lineRule="exac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  <w:vMerge/>
          </w:tcPr>
          <w:p w14:paraId="0622DB0C" w14:textId="77777777" w:rsidR="000B7302" w:rsidRDefault="000B7302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4384" w:type="dxa"/>
            <w:vAlign w:val="center"/>
          </w:tcPr>
          <w:p w14:paraId="6D44AD89" w14:textId="7FC7FFEC" w:rsidR="000B7302" w:rsidRDefault="00622EBC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4．</w:t>
            </w:r>
            <w:r w:rsidR="00000000">
              <w:rPr>
                <w:rFonts w:ascii="宋体" w:eastAsia="宋体" w:hAnsi="宋体" w:cs="宋体" w:hint="eastAsia"/>
                <w:sz w:val="24"/>
              </w:rPr>
              <w:t>学生评价。</w:t>
            </w:r>
          </w:p>
        </w:tc>
        <w:tc>
          <w:tcPr>
            <w:tcW w:w="847" w:type="dxa"/>
            <w:vAlign w:val="center"/>
          </w:tcPr>
          <w:p w14:paraId="4398247F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1794" w:type="dxa"/>
            <w:vAlign w:val="center"/>
          </w:tcPr>
          <w:p w14:paraId="05EA69D7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学生评价表</w:t>
            </w:r>
          </w:p>
        </w:tc>
      </w:tr>
      <w:tr w:rsidR="000B7302" w14:paraId="19C997E2" w14:textId="77777777">
        <w:tc>
          <w:tcPr>
            <w:tcW w:w="865" w:type="dxa"/>
            <w:vMerge/>
          </w:tcPr>
          <w:p w14:paraId="787BEF27" w14:textId="77777777" w:rsidR="000B7302" w:rsidRDefault="000B7302">
            <w:pPr>
              <w:spacing w:line="576" w:lineRule="exac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05" w:type="dxa"/>
            <w:gridSpan w:val="2"/>
          </w:tcPr>
          <w:p w14:paraId="167E3F02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教学效果对比</w:t>
            </w:r>
          </w:p>
        </w:tc>
        <w:tc>
          <w:tcPr>
            <w:tcW w:w="4384" w:type="dxa"/>
            <w:vAlign w:val="center"/>
          </w:tcPr>
          <w:p w14:paraId="7BCD64B8" w14:textId="77777777" w:rsidR="000B7302" w:rsidRDefault="00000000">
            <w:pPr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试验班与同门课程普通班期末考试卷面成绩的对比分析，体现增值效果。</w:t>
            </w:r>
          </w:p>
        </w:tc>
        <w:tc>
          <w:tcPr>
            <w:tcW w:w="847" w:type="dxa"/>
            <w:vAlign w:val="center"/>
          </w:tcPr>
          <w:p w14:paraId="0482E8D4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1794" w:type="dxa"/>
            <w:vAlign w:val="center"/>
          </w:tcPr>
          <w:p w14:paraId="72B07332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学生成绩对比分析表</w:t>
            </w:r>
          </w:p>
        </w:tc>
      </w:tr>
      <w:tr w:rsidR="000B7302" w14:paraId="1F27F11B" w14:textId="77777777">
        <w:tc>
          <w:tcPr>
            <w:tcW w:w="865" w:type="dxa"/>
            <w:vMerge/>
          </w:tcPr>
          <w:p w14:paraId="6224FF94" w14:textId="77777777" w:rsidR="000B7302" w:rsidRDefault="000B7302">
            <w:pPr>
              <w:spacing w:line="576" w:lineRule="exact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10" w:type="dxa"/>
            <w:gridSpan w:val="2"/>
          </w:tcPr>
          <w:p w14:paraId="756D1CF3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课程示范与引领</w:t>
            </w:r>
          </w:p>
        </w:tc>
        <w:tc>
          <w:tcPr>
            <w:tcW w:w="4379" w:type="dxa"/>
            <w:vAlign w:val="center"/>
          </w:tcPr>
          <w:p w14:paraId="017CAAA5" w14:textId="77777777" w:rsidR="000B7302" w:rsidRDefault="00000000">
            <w:pPr>
              <w:adjustRightInd w:val="0"/>
              <w:snapToGrid w:val="0"/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在教学和课程改革方面与同类课程相比显示了明显优势，具有推广价值。</w:t>
            </w:r>
          </w:p>
        </w:tc>
        <w:tc>
          <w:tcPr>
            <w:tcW w:w="847" w:type="dxa"/>
            <w:vAlign w:val="center"/>
          </w:tcPr>
          <w:p w14:paraId="002CAFCC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1794" w:type="dxa"/>
            <w:vAlign w:val="center"/>
          </w:tcPr>
          <w:p w14:paraId="188436B5" w14:textId="77777777" w:rsidR="000B7302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课程改革年度报告</w:t>
            </w:r>
          </w:p>
        </w:tc>
      </w:tr>
      <w:tr w:rsidR="000B7302" w14:paraId="36D32073" w14:textId="77777777">
        <w:tc>
          <w:tcPr>
            <w:tcW w:w="6254" w:type="dxa"/>
            <w:gridSpan w:val="4"/>
            <w:vAlign w:val="center"/>
          </w:tcPr>
          <w:p w14:paraId="01A4594E" w14:textId="77777777" w:rsidR="000B7302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合计</w:t>
            </w:r>
          </w:p>
        </w:tc>
        <w:tc>
          <w:tcPr>
            <w:tcW w:w="847" w:type="dxa"/>
            <w:vAlign w:val="center"/>
          </w:tcPr>
          <w:p w14:paraId="20988378" w14:textId="77777777" w:rsidR="000B7302" w:rsidRDefault="00000000">
            <w:pPr>
              <w:spacing w:line="576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</w:t>
            </w:r>
          </w:p>
        </w:tc>
        <w:tc>
          <w:tcPr>
            <w:tcW w:w="1794" w:type="dxa"/>
            <w:vAlign w:val="center"/>
          </w:tcPr>
          <w:p w14:paraId="5137646F" w14:textId="77777777" w:rsidR="000B7302" w:rsidRDefault="000B7302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</w:tbl>
    <w:p w14:paraId="58A04CF2" w14:textId="77777777" w:rsidR="000B7302" w:rsidRDefault="000B7302">
      <w:pPr>
        <w:pStyle w:val="UserStyle0"/>
        <w:rPr>
          <w:lang w:eastAsia="zh-CN"/>
        </w:rPr>
      </w:pPr>
    </w:p>
    <w:sectPr w:rsidR="000B7302" w:rsidSect="00622EBC">
      <w:footerReference w:type="even" r:id="rId7"/>
      <w:footerReference w:type="default" r:id="rId8"/>
      <w:pgSz w:w="11906" w:h="16838"/>
      <w:pgMar w:top="1701" w:right="1531" w:bottom="1701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832DA" w14:textId="77777777" w:rsidR="00486717" w:rsidRDefault="00486717" w:rsidP="00622EBC">
      <w:r>
        <w:separator/>
      </w:r>
    </w:p>
  </w:endnote>
  <w:endnote w:type="continuationSeparator" w:id="0">
    <w:p w14:paraId="3B92F7FE" w14:textId="77777777" w:rsidR="00486717" w:rsidRDefault="00486717" w:rsidP="0062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1" w:subsetted="1" w:fontKey="{0B762EA7-B646-44FE-B0E4-C474A5D0DFF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73CBBFE-21FE-4EBD-BE78-612C0400FAF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50916B5F-238E-47D5-91B9-8B958ED883D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465895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75C02854" w14:textId="74AAF76B" w:rsidR="00622EBC" w:rsidRPr="00622EBC" w:rsidRDefault="00622EBC">
        <w:pPr>
          <w:pStyle w:val="a0"/>
          <w:rPr>
            <w:rFonts w:ascii="宋体" w:eastAsia="宋体" w:hAnsi="宋体" w:hint="eastAsia"/>
            <w:sz w:val="28"/>
            <w:szCs w:val="28"/>
          </w:rPr>
        </w:pPr>
        <w:r w:rsidRPr="00622EBC">
          <w:rPr>
            <w:rFonts w:ascii="宋体" w:eastAsia="宋体" w:hAnsi="宋体"/>
            <w:sz w:val="28"/>
            <w:szCs w:val="28"/>
          </w:rPr>
          <w:fldChar w:fldCharType="begin"/>
        </w:r>
        <w:r w:rsidRPr="00622EBC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622EBC">
          <w:rPr>
            <w:rFonts w:ascii="宋体" w:eastAsia="宋体" w:hAnsi="宋体"/>
            <w:sz w:val="28"/>
            <w:szCs w:val="28"/>
          </w:rPr>
          <w:fldChar w:fldCharType="separate"/>
        </w:r>
        <w:r w:rsidRPr="00622EBC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622EBC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272718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071E5C54" w14:textId="5A14653F" w:rsidR="00622EBC" w:rsidRPr="00622EBC" w:rsidRDefault="00622EBC" w:rsidP="00622EBC">
        <w:pPr>
          <w:pStyle w:val="a0"/>
          <w:jc w:val="right"/>
          <w:rPr>
            <w:rFonts w:ascii="宋体" w:eastAsia="宋体" w:hAnsi="宋体" w:hint="eastAsia"/>
            <w:sz w:val="28"/>
            <w:szCs w:val="28"/>
          </w:rPr>
        </w:pPr>
        <w:r w:rsidRPr="00622EBC">
          <w:rPr>
            <w:rFonts w:ascii="宋体" w:eastAsia="宋体" w:hAnsi="宋体"/>
            <w:sz w:val="28"/>
            <w:szCs w:val="28"/>
          </w:rPr>
          <w:fldChar w:fldCharType="begin"/>
        </w:r>
        <w:r w:rsidRPr="00622EBC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622EBC">
          <w:rPr>
            <w:rFonts w:ascii="宋体" w:eastAsia="宋体" w:hAnsi="宋体"/>
            <w:sz w:val="28"/>
            <w:szCs w:val="28"/>
          </w:rPr>
          <w:fldChar w:fldCharType="separate"/>
        </w:r>
        <w:r w:rsidRPr="00622EBC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622EBC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90199" w14:textId="77777777" w:rsidR="00486717" w:rsidRDefault="00486717" w:rsidP="00622EBC">
      <w:r>
        <w:separator/>
      </w:r>
    </w:p>
  </w:footnote>
  <w:footnote w:type="continuationSeparator" w:id="0">
    <w:p w14:paraId="6659FCFF" w14:textId="77777777" w:rsidR="00486717" w:rsidRDefault="00486717" w:rsidP="00622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CE964A2"/>
    <w:rsid w:val="000B7302"/>
    <w:rsid w:val="00486717"/>
    <w:rsid w:val="00622EBC"/>
    <w:rsid w:val="006A0062"/>
    <w:rsid w:val="03611918"/>
    <w:rsid w:val="03A55871"/>
    <w:rsid w:val="05123C0E"/>
    <w:rsid w:val="05971E32"/>
    <w:rsid w:val="07087877"/>
    <w:rsid w:val="08E324F1"/>
    <w:rsid w:val="0C7E3A2E"/>
    <w:rsid w:val="0CE964A2"/>
    <w:rsid w:val="0E44326F"/>
    <w:rsid w:val="167E55A7"/>
    <w:rsid w:val="1A302507"/>
    <w:rsid w:val="1BD22B56"/>
    <w:rsid w:val="1CCD00BA"/>
    <w:rsid w:val="1CE30F1C"/>
    <w:rsid w:val="1EF877D3"/>
    <w:rsid w:val="25A16F30"/>
    <w:rsid w:val="344866AF"/>
    <w:rsid w:val="34E87811"/>
    <w:rsid w:val="3528012C"/>
    <w:rsid w:val="358D3C49"/>
    <w:rsid w:val="36E2387F"/>
    <w:rsid w:val="45685039"/>
    <w:rsid w:val="48454E25"/>
    <w:rsid w:val="4C611046"/>
    <w:rsid w:val="4EDC5788"/>
    <w:rsid w:val="52695BB4"/>
    <w:rsid w:val="530F6CFA"/>
    <w:rsid w:val="55CA71B9"/>
    <w:rsid w:val="56D8399B"/>
    <w:rsid w:val="591014D1"/>
    <w:rsid w:val="59701B77"/>
    <w:rsid w:val="5A2F7C37"/>
    <w:rsid w:val="5A5104CC"/>
    <w:rsid w:val="5B470A5C"/>
    <w:rsid w:val="619367A9"/>
    <w:rsid w:val="650D6873"/>
    <w:rsid w:val="71FE59C6"/>
    <w:rsid w:val="74C131D6"/>
    <w:rsid w:val="784E2FD2"/>
    <w:rsid w:val="7C5F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5CAADF"/>
  <w15:docId w15:val="{3A1DBC35-ABD3-4825-8F1A-1072D6B8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1"/>
    <w:qFormat/>
    <w:rPr>
      <w:b/>
    </w:rPr>
  </w:style>
  <w:style w:type="paragraph" w:customStyle="1" w:styleId="UserStyle0">
    <w:name w:val="UserStyle_0"/>
    <w:basedOn w:val="a"/>
    <w:qFormat/>
    <w:pPr>
      <w:widowControl/>
      <w:kinsoku w:val="0"/>
      <w:snapToGrid w:val="0"/>
      <w:ind w:firstLineChars="200" w:firstLine="420"/>
      <w:textAlignment w:val="baseline"/>
    </w:pPr>
    <w:rPr>
      <w:rFonts w:ascii="Calibri" w:eastAsia="宋体" w:hAnsi="Calibri" w:cs="Times New Roman"/>
      <w:snapToGrid w:val="0"/>
      <w:color w:val="000000"/>
      <w:szCs w:val="21"/>
      <w:lang w:eastAsia="en-US"/>
    </w:rPr>
  </w:style>
  <w:style w:type="paragraph" w:customStyle="1" w:styleId="GCZY">
    <w:name w:val="GCZY大标题"/>
    <w:qFormat/>
    <w:pPr>
      <w:adjustRightInd w:val="0"/>
      <w:snapToGrid w:val="0"/>
      <w:spacing w:line="720" w:lineRule="exact"/>
      <w:jc w:val="center"/>
    </w:pPr>
    <w:rPr>
      <w:rFonts w:eastAsia="方正小标宋简体" w:cs="方正小标宋简体" w:hint="eastAsia"/>
      <w:sz w:val="44"/>
      <w:szCs w:val="44"/>
    </w:rPr>
  </w:style>
  <w:style w:type="paragraph" w:customStyle="1" w:styleId="GCZY0">
    <w:name w:val="GCZY附件"/>
    <w:qFormat/>
    <w:pPr>
      <w:adjustRightInd w:val="0"/>
      <w:snapToGrid w:val="0"/>
      <w:spacing w:line="576" w:lineRule="exact"/>
      <w:jc w:val="both"/>
    </w:pPr>
    <w:rPr>
      <w:rFonts w:eastAsia="黑体" w:hint="eastAsia"/>
      <w:color w:val="000000"/>
      <w:sz w:val="32"/>
      <w:szCs w:val="32"/>
    </w:rPr>
  </w:style>
  <w:style w:type="paragraph" w:styleId="a8">
    <w:name w:val="header"/>
    <w:basedOn w:val="a"/>
    <w:link w:val="a9"/>
    <w:rsid w:val="00622E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rsid w:val="00622EBC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1"/>
    <w:link w:val="a0"/>
    <w:uiPriority w:val="99"/>
    <w:rsid w:val="00622EB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74C70-BF9B-4D64-9647-5852B3E8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2119</Words>
  <Characters>2204</Characters>
  <Application>Microsoft Office Word</Application>
  <DocSecurity>0</DocSecurity>
  <Lines>244</Lines>
  <Paragraphs>205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李海霞</dc:creator>
  <cp:lastModifiedBy>徐伟</cp:lastModifiedBy>
  <cp:revision>2</cp:revision>
  <dcterms:created xsi:type="dcterms:W3CDTF">2025-08-10T13:28:00Z</dcterms:created>
  <dcterms:modified xsi:type="dcterms:W3CDTF">2025-11-04T05:26:00Z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CC7B681D49CE4862B407648E21E9AD7D_11</vt:lpwstr>
  </property>
  <property fmtid="{D5CDD505-2E9C-101B-9397-08002B2CF9AE}" pid="4" name="KSOTemplateDocerSaveRecord">
    <vt:lpwstr>eyJoZGlkIjoiNTk1MmViZTg2ZWI0YzkxY2VjMGMxYzI5MjcxYTU3NGMiLCJ1c2VySWQiOiIxOTQ1MjQ2NjkifQ==</vt:lpwstr>
  </property>
</Properties>
</file>