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73B5A">
      <w:pPr>
        <w:spacing w:line="520" w:lineRule="exact"/>
        <w:jc w:val="center"/>
        <w:rPr>
          <w:rFonts w:hint="eastAsia" w:ascii="微软雅黑" w:hAnsi="微软雅黑" w:eastAsia="微软雅黑" w:cs="仿宋"/>
          <w:sz w:val="36"/>
          <w:szCs w:val="30"/>
        </w:rPr>
      </w:pPr>
      <w:r>
        <w:rPr>
          <w:rFonts w:hint="eastAsia" w:ascii="微软雅黑" w:hAnsi="微软雅黑" w:eastAsia="微软雅黑" w:cs="仿宋"/>
          <w:sz w:val="36"/>
          <w:szCs w:val="30"/>
        </w:rPr>
        <w:t>湖南工程职业技术学院科研评价改革成效显著 助力</w:t>
      </w:r>
    </w:p>
    <w:p w14:paraId="13A79AA3">
      <w:pPr>
        <w:spacing w:line="520" w:lineRule="exact"/>
        <w:jc w:val="center"/>
        <w:rPr>
          <w:rFonts w:ascii="微软雅黑" w:hAnsi="微软雅黑" w:eastAsia="微软雅黑" w:cs="仿宋"/>
          <w:sz w:val="36"/>
          <w:szCs w:val="30"/>
        </w:rPr>
      </w:pPr>
      <w:r>
        <w:rPr>
          <w:rFonts w:hint="eastAsia" w:ascii="微软雅黑" w:hAnsi="微软雅黑" w:eastAsia="微软雅黑" w:cs="仿宋"/>
          <w:sz w:val="36"/>
          <w:szCs w:val="30"/>
        </w:rPr>
        <w:t>科普</w:t>
      </w:r>
      <w:bookmarkStart w:id="0" w:name="_GoBack"/>
      <w:bookmarkEnd w:id="0"/>
      <w:r>
        <w:rPr>
          <w:rFonts w:hint="eastAsia" w:ascii="微软雅黑" w:hAnsi="微软雅黑" w:eastAsia="微软雅黑" w:cs="仿宋"/>
          <w:sz w:val="36"/>
          <w:szCs w:val="30"/>
        </w:rPr>
        <w:t>教育高质量发展</w:t>
      </w:r>
    </w:p>
    <w:p w14:paraId="1CAA50BB">
      <w:pPr>
        <w:spacing w:line="520" w:lineRule="exact"/>
        <w:jc w:val="center"/>
        <w:rPr>
          <w:rFonts w:hint="default" w:ascii="微软雅黑" w:hAnsi="微软雅黑" w:eastAsia="微软雅黑" w:cs="仿宋"/>
          <w:sz w:val="36"/>
          <w:szCs w:val="30"/>
          <w:lang w:val="en-US" w:eastAsia="zh-CN"/>
        </w:rPr>
      </w:pPr>
      <w:r>
        <w:rPr>
          <w:rFonts w:hint="eastAsia" w:ascii="华文仿宋" w:hAnsi="华文仿宋" w:eastAsia="华文仿宋" w:cs="华文仿宋"/>
          <w:sz w:val="28"/>
          <w:szCs w:val="24"/>
          <w:lang w:val="en-US" w:eastAsia="zh-CN"/>
        </w:rPr>
        <w:t>2024年11月7日</w:t>
      </w:r>
    </w:p>
    <w:p w14:paraId="2B2B444A">
      <w:pPr>
        <w:spacing w:line="520" w:lineRule="exact"/>
        <w:ind w:firstLine="531" w:firstLineChars="177"/>
        <w:rPr>
          <w:rFonts w:ascii="仿宋" w:hAnsi="仿宋" w:eastAsia="仿宋" w:cs="仿宋"/>
          <w:sz w:val="30"/>
          <w:szCs w:val="30"/>
        </w:rPr>
      </w:pPr>
      <w:r>
        <w:rPr>
          <w:rFonts w:hint="eastAsia" w:ascii="仿宋" w:hAnsi="仿宋" w:eastAsia="仿宋" w:cs="仿宋"/>
          <w:sz w:val="30"/>
          <w:szCs w:val="30"/>
        </w:rPr>
        <w:t>近年来，湖南工程职业技术学院不断开展科研改革，在各项科研活动中取得了显著成绩，特别是通过“两型+两维”科研成果评价体系的实施，有效地推动了科普基地的建设和科普教育活动，为提升全民科学素养做出了积极贡献。</w:t>
      </w:r>
    </w:p>
    <w:p w14:paraId="33E9FD9A">
      <w:pPr>
        <w:spacing w:line="520" w:lineRule="exact"/>
        <w:ind w:firstLine="531" w:firstLineChars="177"/>
        <w:rPr>
          <w:rFonts w:ascii="仿宋" w:hAnsi="仿宋" w:eastAsia="仿宋" w:cs="仿宋"/>
          <w:sz w:val="30"/>
          <w:szCs w:val="30"/>
        </w:rPr>
      </w:pPr>
    </w:p>
    <w:p w14:paraId="3875FE97">
      <w:pPr>
        <w:spacing w:line="520" w:lineRule="exact"/>
        <w:ind w:firstLine="533" w:firstLineChars="177"/>
        <w:rPr>
          <w:rFonts w:ascii="仿宋" w:hAnsi="仿宋" w:eastAsia="仿宋" w:cs="仿宋"/>
          <w:b/>
          <w:sz w:val="30"/>
          <w:szCs w:val="30"/>
        </w:rPr>
      </w:pPr>
      <w:r>
        <w:rPr>
          <w:rFonts w:hint="eastAsia" w:ascii="仿宋" w:hAnsi="仿宋" w:eastAsia="仿宋" w:cs="仿宋"/>
          <w:b/>
          <w:sz w:val="30"/>
          <w:szCs w:val="30"/>
        </w:rPr>
        <w:t>科研评价改革成效显著</w:t>
      </w:r>
    </w:p>
    <w:p w14:paraId="0052E221">
      <w:pPr>
        <w:spacing w:line="520" w:lineRule="exact"/>
        <w:ind w:firstLine="531" w:firstLineChars="177"/>
        <w:rPr>
          <w:rFonts w:ascii="仿宋" w:hAnsi="仿宋" w:eastAsia="仿宋" w:cs="仿宋"/>
          <w:sz w:val="30"/>
          <w:szCs w:val="30"/>
        </w:rPr>
      </w:pPr>
      <w:r>
        <w:rPr>
          <w:rFonts w:hint="eastAsia" w:ascii="仿宋" w:hAnsi="仿宋" w:eastAsia="仿宋" w:cs="仿宋"/>
          <w:sz w:val="30"/>
          <w:szCs w:val="30"/>
        </w:rPr>
        <w:t>2022年湖南工程职业技术学院被立项为湖南省新时代教育评价改革试点院校，并启动“双高校”建设，这两项重大教育工程的同步实施，全面提升了学院的职业教育质量和教学科研综合实力。面对科研基础薄弱、资源紧缺的现状，学院着力构建科研成果评价改革体系，通过制度约束、管理保障、引领培育等措施，持续推动科研工作取得新成效。学院建立了“两型”科研成果评价机制，即理论研究与实践应用型并重的评价机制，突出实用研究评价；同时建立了“两维”科研实绩导向评价机制，即成果质量导向和社会贡献导向科研实绩评价机制，强化建设以科研成果影响力、社会服务能力、决策影响力等为主要评价因素的多元化评价体系。</w:t>
      </w:r>
    </w:p>
    <w:p w14:paraId="63EF7AF3">
      <w:pPr>
        <w:spacing w:line="520" w:lineRule="exact"/>
        <w:ind w:firstLine="531" w:firstLineChars="177"/>
        <w:rPr>
          <w:rFonts w:ascii="仿宋" w:hAnsi="仿宋" w:eastAsia="仿宋" w:cs="仿宋"/>
          <w:sz w:val="30"/>
          <w:szCs w:val="30"/>
        </w:rPr>
      </w:pPr>
    </w:p>
    <w:p w14:paraId="51A41689">
      <w:pPr>
        <w:spacing w:line="520" w:lineRule="exact"/>
        <w:ind w:firstLine="533" w:firstLineChars="177"/>
        <w:rPr>
          <w:rFonts w:ascii="仿宋" w:hAnsi="仿宋" w:eastAsia="仿宋" w:cs="仿宋"/>
          <w:b/>
          <w:sz w:val="30"/>
          <w:szCs w:val="30"/>
        </w:rPr>
      </w:pPr>
      <w:r>
        <w:rPr>
          <w:rFonts w:hint="eastAsia" w:ascii="仿宋" w:hAnsi="仿宋" w:eastAsia="仿宋" w:cs="仿宋"/>
          <w:b/>
          <w:sz w:val="30"/>
          <w:szCs w:val="30"/>
        </w:rPr>
        <w:t>科研投入与科研成果显著</w:t>
      </w:r>
    </w:p>
    <w:p w14:paraId="617C4474">
      <w:pPr>
        <w:spacing w:line="520" w:lineRule="exact"/>
        <w:ind w:firstLine="531" w:firstLineChars="177"/>
        <w:rPr>
          <w:rFonts w:ascii="仿宋" w:hAnsi="仿宋" w:eastAsia="仿宋" w:cs="仿宋"/>
          <w:sz w:val="30"/>
          <w:szCs w:val="30"/>
        </w:rPr>
      </w:pPr>
      <w:r>
        <w:rPr>
          <w:rFonts w:hint="eastAsia" w:ascii="仿宋" w:hAnsi="仿宋" w:eastAsia="仿宋" w:cs="仿宋"/>
          <w:sz w:val="30"/>
          <w:szCs w:val="30"/>
        </w:rPr>
        <w:t>近三年来，学院持续加大科研经费投入，总计投入经费超400万元，用于建设校级科技创新团队、校级教学成果奖培育项目、校级规划教材培育项目等，并取得了丰硕成果。自2022年以来，学院共立项市厅级以上项目240余项，包括省自然科学基金项目5项，教育科学优秀成果奖1项；立项省级工程（技术）研究中心2个；横向技术服务项目进账金额超过500万元，科研成果转化金额达200余万元。</w:t>
      </w:r>
    </w:p>
    <w:p w14:paraId="010BE07B">
      <w:pPr>
        <w:spacing w:line="520" w:lineRule="exact"/>
        <w:ind w:firstLine="533" w:firstLineChars="177"/>
        <w:rPr>
          <w:rFonts w:ascii="仿宋" w:hAnsi="仿宋" w:eastAsia="仿宋" w:cs="仿宋"/>
          <w:b/>
          <w:sz w:val="30"/>
          <w:szCs w:val="30"/>
        </w:rPr>
      </w:pPr>
      <w:r>
        <w:rPr>
          <w:rFonts w:hint="eastAsia" w:ascii="仿宋" w:hAnsi="仿宋" w:eastAsia="仿宋" w:cs="仿宋"/>
          <w:b/>
          <w:sz w:val="30"/>
          <w:szCs w:val="30"/>
        </w:rPr>
        <w:t>科普基地建设成效凸显</w:t>
      </w:r>
    </w:p>
    <w:p w14:paraId="6B1C7D3B">
      <w:pPr>
        <w:spacing w:line="520" w:lineRule="exact"/>
        <w:ind w:firstLine="531" w:firstLineChars="177"/>
        <w:rPr>
          <w:rFonts w:ascii="仿宋" w:hAnsi="仿宋" w:eastAsia="仿宋" w:cs="仿宋"/>
          <w:sz w:val="30"/>
          <w:szCs w:val="30"/>
        </w:rPr>
      </w:pPr>
      <w:r>
        <w:rPr>
          <w:rFonts w:hint="eastAsia" w:ascii="仿宋" w:hAnsi="仿宋" w:eastAsia="仿宋" w:cs="仿宋"/>
          <w:sz w:val="30"/>
          <w:szCs w:val="30"/>
        </w:rPr>
        <w:t>学院科普基地建设工作成效显著，立项了“未来建设者科普基地”“山水育人教育科研科普基地”“湖南发布全民数字素养与技能培训基地”“装配式建筑数字博物馆”等6个科普基地，其中省级科普基地2个。这些科普基地不仅成为学院科普教育成果的重要展示窗口，也为全校师生提供了良好的实践平台。</w:t>
      </w:r>
    </w:p>
    <w:p w14:paraId="3BBEE8C1"/>
    <w:p w14:paraId="3AC7A6EB">
      <w:pPr>
        <w:spacing w:line="520" w:lineRule="exact"/>
        <w:ind w:firstLine="533" w:firstLineChars="177"/>
        <w:rPr>
          <w:rFonts w:ascii="仿宋" w:hAnsi="仿宋" w:eastAsia="仿宋" w:cs="仿宋"/>
          <w:b/>
          <w:sz w:val="30"/>
          <w:szCs w:val="30"/>
        </w:rPr>
      </w:pPr>
      <w:r>
        <w:rPr>
          <w:rFonts w:hint="eastAsia" w:ascii="仿宋" w:hAnsi="仿宋" w:eastAsia="仿宋" w:cs="仿宋"/>
          <w:b/>
          <w:sz w:val="30"/>
          <w:szCs w:val="30"/>
        </w:rPr>
        <w:t>科普项目与作品广受好评</w:t>
      </w:r>
    </w:p>
    <w:p w14:paraId="04E20134">
      <w:pPr>
        <w:spacing w:line="520" w:lineRule="exact"/>
        <w:ind w:firstLine="531" w:firstLineChars="177"/>
        <w:rPr>
          <w:rFonts w:ascii="仿宋" w:hAnsi="仿宋" w:eastAsia="仿宋" w:cs="仿宋"/>
          <w:sz w:val="30"/>
          <w:szCs w:val="30"/>
        </w:rPr>
      </w:pPr>
      <w:r>
        <w:rPr>
          <w:rFonts w:hint="eastAsia" w:ascii="仿宋" w:hAnsi="仿宋" w:eastAsia="仿宋" w:cs="仿宋"/>
          <w:sz w:val="30"/>
          <w:szCs w:val="30"/>
        </w:rPr>
        <w:t>在科普教育领域，学院的专业能力获得了社会的广泛认可。《建筑+地质+农业科普》等3个项目获得中国科协科普项目立项，《装配式建筑科普教育》项目荣获2021年湖南省创新型省份科普项目立项，覆盖了省内10余中小学校，科普受众超过了3000多人。《绿色建筑 装配未来》等7部科普视频被评为湖南省优秀科普作品，进一步扩大了学院科普工作的影响力。学院科普活动受到了学习强国、红网、新湖南等国内主流媒体的广泛关注，累计报道超过50次，总浏览量已突破50万次，为科学知识的传播和普及做出了积极的贡献。</w:t>
      </w:r>
    </w:p>
    <w:p w14:paraId="62457C00"/>
    <w:p w14:paraId="251A1744">
      <w:pPr>
        <w:spacing w:line="520" w:lineRule="exact"/>
        <w:ind w:firstLine="533" w:firstLineChars="177"/>
        <w:rPr>
          <w:rFonts w:ascii="仿宋" w:hAnsi="仿宋" w:eastAsia="仿宋" w:cs="仿宋"/>
          <w:b/>
          <w:sz w:val="30"/>
          <w:szCs w:val="30"/>
        </w:rPr>
      </w:pPr>
      <w:r>
        <w:rPr>
          <w:rFonts w:hint="eastAsia" w:ascii="仿宋" w:hAnsi="仿宋" w:eastAsia="仿宋" w:cs="仿宋"/>
          <w:b/>
          <w:sz w:val="30"/>
          <w:szCs w:val="30"/>
        </w:rPr>
        <w:t>未来展望</w:t>
      </w:r>
    </w:p>
    <w:p w14:paraId="3F419C7B">
      <w:pPr>
        <w:spacing w:line="520" w:lineRule="exact"/>
        <w:ind w:firstLine="531" w:firstLineChars="177"/>
        <w:rPr>
          <w:rFonts w:ascii="仿宋" w:hAnsi="仿宋" w:eastAsia="仿宋" w:cs="仿宋"/>
          <w:sz w:val="30"/>
          <w:szCs w:val="30"/>
        </w:rPr>
      </w:pPr>
      <w:r>
        <w:rPr>
          <w:rFonts w:hint="eastAsia" w:ascii="仿宋" w:hAnsi="仿宋" w:eastAsia="仿宋" w:cs="仿宋"/>
          <w:sz w:val="30"/>
          <w:szCs w:val="30"/>
        </w:rPr>
        <w:t>湖南工程职业技术学院将以“双高校”建设为契机，不断完善科研评价改革体系，进一步激发学院科研工作者的创新精神，积极推动教师产出更多更高质量的科研成果，力争成为具有湖南职业教育特色的科研评价改革先锋，不断提升学院服务区域经济社会发展的能力和水平，为实现学校升本的战略目标提供强有力的支撑。</w:t>
      </w:r>
    </w:p>
    <w:p w14:paraId="3191B0FC">
      <w:pPr>
        <w:wordWrap w:val="0"/>
        <w:spacing w:line="520" w:lineRule="exact"/>
        <w:ind w:firstLine="531" w:firstLineChars="177"/>
        <w:jc w:val="right"/>
        <w:rPr>
          <w:rFonts w:hint="eastAsia" w:ascii="仿宋" w:hAnsi="仿宋" w:eastAsia="仿宋" w:cs="仿宋"/>
          <w:sz w:val="30"/>
          <w:szCs w:val="30"/>
        </w:rPr>
      </w:pPr>
    </w:p>
    <w:sectPr>
      <w:pgSz w:w="11906" w:h="16838"/>
      <w:pgMar w:top="1440" w:right="127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xYzcxNTk1YjI0ZTFiODFkNDVjYzk4YWExZjY0NGIifQ=="/>
  </w:docVars>
  <w:rsids>
    <w:rsidRoot w:val="00625350"/>
    <w:rsid w:val="00000221"/>
    <w:rsid w:val="000A17F5"/>
    <w:rsid w:val="002F1EF3"/>
    <w:rsid w:val="00395DA9"/>
    <w:rsid w:val="00625350"/>
    <w:rsid w:val="00876FF1"/>
    <w:rsid w:val="0D386EBC"/>
    <w:rsid w:val="0E65029A"/>
    <w:rsid w:val="14210BF7"/>
    <w:rsid w:val="43E10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1164</Characters>
  <Lines>8</Lines>
  <Paragraphs>2</Paragraphs>
  <TotalTime>4</TotalTime>
  <ScaleCrop>false</ScaleCrop>
  <LinksUpToDate>false</LinksUpToDate>
  <CharactersWithSpaces>1166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2024-11-05T07:52:00Z</dcterms:created>
  <dc:creator>Liu</dc:creator>
  <cp:lastModifiedBy>LL6</cp:lastModifiedBy>
  <dcterms:modified xsi:type="dcterms:W3CDTF">2024-11-07T05:10:50Z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D833901395FE4EE28C205F4F8F6ED949_12</vt:lpwstr>
  </property>
</Properties>
</file>