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0" w:lineRule="atLeast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附件3：</w:t>
      </w:r>
    </w:p>
    <w:p>
      <w:pPr>
        <w:jc w:val="center"/>
        <w:rPr>
          <w:rFonts w:hint="default" w:ascii="宋体" w:hAnsi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b/>
          <w:bCs/>
          <w:sz w:val="36"/>
          <w:szCs w:val="36"/>
          <w:lang w:val="en-US" w:eastAsia="zh-CN"/>
        </w:rPr>
        <w:t>湖南工程职业技术学院</w:t>
      </w:r>
      <w:r>
        <w:rPr>
          <w:rFonts w:ascii="黑体" w:hAnsi="黑体" w:eastAsia="黑体" w:cs="宋体"/>
          <w:b/>
          <w:bCs/>
          <w:sz w:val="36"/>
          <w:szCs w:val="36"/>
        </w:rPr>
        <w:t>精品在线开放课程评审标准</w:t>
      </w:r>
      <w:bookmarkEnd w:id="0"/>
    </w:p>
    <w:tbl>
      <w:tblPr>
        <w:tblStyle w:val="2"/>
        <w:tblW w:w="102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466"/>
        <w:gridCol w:w="5447"/>
        <w:gridCol w:w="1057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tblHeader/>
          <w:jc w:val="center"/>
        </w:trPr>
        <w:tc>
          <w:tcPr>
            <w:tcW w:w="1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一级指标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二级指标</w:t>
            </w:r>
          </w:p>
        </w:tc>
        <w:tc>
          <w:tcPr>
            <w:tcW w:w="5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指标说明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分值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spacing w:val="6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spacing w:val="60"/>
                <w:sz w:val="24"/>
                <w:szCs w:val="24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spacing w:val="6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spacing w:val="60"/>
                <w:sz w:val="24"/>
                <w:szCs w:val="24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spacing w:val="6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pacing w:val="60"/>
                <w:w w:val="90"/>
                <w:sz w:val="24"/>
                <w:szCs w:val="24"/>
              </w:rPr>
              <w:t>(5分</w:t>
            </w:r>
            <w:r>
              <w:rPr>
                <w:rFonts w:ascii="仿宋" w:hAnsi="仿宋" w:eastAsia="仿宋" w:cs="仿宋"/>
                <w:b/>
                <w:spacing w:val="60"/>
                <w:w w:val="90"/>
                <w:sz w:val="28"/>
                <w:szCs w:val="28"/>
              </w:rPr>
              <w:t>)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团队成员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（5分）</w:t>
            </w:r>
          </w:p>
        </w:tc>
        <w:tc>
          <w:tcPr>
            <w:tcW w:w="5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(1)课程负责人须为申报院校正式聘用的教师，具有丰富的教学经验和扎实专业功底。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(2)主讲教师师德好，教学能力强，积极投身信息技术与教育教学深度融合的教学改革。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(3)课程团队结构合理、人员稳定，除课程负责人和主讲教师外，还应配备必要的助理教师，保障线上线下教学正常有序运行。团队人数不少于3人。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A（5）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B（4）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C（3）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D（2）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spacing w:val="6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spacing w:val="60"/>
                <w:sz w:val="24"/>
                <w:szCs w:val="24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spacing w:val="6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spacing w:val="60"/>
                <w:sz w:val="24"/>
                <w:szCs w:val="24"/>
              </w:rPr>
              <w:t>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spacing w:val="6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pacing w:val="60"/>
                <w:sz w:val="24"/>
                <w:szCs w:val="24"/>
              </w:rPr>
              <w:t>(10分)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１.设计要求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（5分）</w:t>
            </w:r>
          </w:p>
        </w:tc>
        <w:tc>
          <w:tcPr>
            <w:tcW w:w="5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遵循教育教学规律，体现现代教育思想，符合大规模在线开放课程教学特征。注重以学生为中心建立教与学新型关系，构建体现信息技术与教育教学深度融合的课程结构和教学组织模式，课程知识体系科学，资源配置全面合理，适合在线学习和混合式教学。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A（5）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B（4）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C（3）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D（2）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3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spacing w:val="60"/>
                <w:sz w:val="28"/>
                <w:szCs w:val="28"/>
              </w:rPr>
            </w:pP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２.设计内容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（5分）</w:t>
            </w:r>
          </w:p>
        </w:tc>
        <w:tc>
          <w:tcPr>
            <w:tcW w:w="5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(1)课程标准科学规范，包含课程目标、教学内容体系与单元（模块）划分、考核标准与方法等；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(2)教学设计及实施计划可操作，课时安排、教学方法及课程组织合理。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A（5）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B（4）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C（3）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D（2）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7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spacing w:val="6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spacing w:val="60"/>
                <w:sz w:val="24"/>
                <w:szCs w:val="24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spacing w:val="6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spacing w:val="60"/>
                <w:sz w:val="24"/>
                <w:szCs w:val="24"/>
              </w:rPr>
              <w:t>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spacing w:val="6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pacing w:val="60"/>
                <w:sz w:val="24"/>
                <w:szCs w:val="24"/>
              </w:rPr>
              <w:t>(40分)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1.内容要求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（10分）</w:t>
            </w:r>
          </w:p>
        </w:tc>
        <w:tc>
          <w:tcPr>
            <w:tcW w:w="5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坚持立德树人，能够将思想政治教育内化为课程内容，弘扬社会主义核心价值观。反映专业最新发展成果和教改教研成果，具有较高的科学性水平。课程内容更新和完善及时。无危害国家安全、涉密及其他不适宜网络公开传播的内容，无侵犯他人知识产权内容。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A（10-9）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B（8-7）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C（6-5）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D（4-3）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3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spacing w:val="60"/>
                <w:sz w:val="28"/>
                <w:szCs w:val="28"/>
              </w:rPr>
            </w:pP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2.视频资源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（15分）</w:t>
            </w:r>
          </w:p>
        </w:tc>
        <w:tc>
          <w:tcPr>
            <w:tcW w:w="5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(1)教学视频能体现良好的教学设计思路，内容准确、覆盖课程所有单元；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(2)视频不是课堂实录或录屏，单个视频时长5-15分钟；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(3)视频画面清晰、声音宏亮，播放流畅，方便回放或定点播放，有较好的艺术性和欣赏性；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(4)课程核心知识和技能有原创视频。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A（15-14）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B（13-11）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C（10-8）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D（7-5）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spacing w:val="60"/>
                <w:sz w:val="28"/>
                <w:szCs w:val="28"/>
              </w:rPr>
            </w:pP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3.图文资源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（15分）</w:t>
            </w:r>
          </w:p>
        </w:tc>
        <w:tc>
          <w:tcPr>
            <w:tcW w:w="5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(1)图文资源（包含包括课程介绍、负责人介绍、教案或演示文稿、考核方案、在线作业、试题库等反映教学活动必需的资源）设计、编写科学规范，与视频资源共同组成完整课程内容；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(2)图片清晰、真实，文档格式统一、美观，动画播放流畅。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(3)练习测试题覆盖所有教学单元，题型多样，且能在线作业、测试和评阅；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(4)拓展资源知识准确，表达无误，资源类型丰富，与课程内容密切相关，且数量较多；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A（15-14）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B（13-11）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C（10-8）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D（7-5）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7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spacing w:val="6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spacing w:val="60"/>
                <w:sz w:val="24"/>
                <w:szCs w:val="24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spacing w:val="6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spacing w:val="60"/>
                <w:sz w:val="24"/>
                <w:szCs w:val="24"/>
              </w:rPr>
              <w:t>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spacing w:val="6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pacing w:val="60"/>
                <w:w w:val="90"/>
                <w:sz w:val="24"/>
                <w:szCs w:val="24"/>
              </w:rPr>
              <w:t>(45分)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1.开课情况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（15分）</w:t>
            </w:r>
          </w:p>
        </w:tc>
        <w:tc>
          <w:tcPr>
            <w:tcW w:w="5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(1)完成至少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轮以上的完整课程教学；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(2)每轮选课学习人数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在1000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人以上；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(3)各项教学活动完整、有效，按计划实施，且教学过程记录完整、规范。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A（15-14）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B（13-11）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C（10-8）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D（7-5）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spacing w:val="60"/>
                <w:sz w:val="28"/>
                <w:szCs w:val="28"/>
              </w:rPr>
            </w:pP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2.教学过程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（20分）</w:t>
            </w:r>
          </w:p>
        </w:tc>
        <w:tc>
          <w:tcPr>
            <w:tcW w:w="5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通过课程平台，教师按照学校的教学计划和要求为学习者提供测验、作业、考试、答疑、讨论等教学活动，及时开展在线指导与测评，且记录过程材料真实、有效。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(1)每轮课程中的单个资源访问量1000次以上；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(2)每轮布置作业及批改和测试评价次数在25次以上；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(3)学习者在线学习响应度高，师生互动充分，能有效促进师生之间、学生之间进行资源共享、互动交流和自主式与协作式学习，每轮师生交流互动2000次以上。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A（20-18）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B（17-15）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C（14-12）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D（11-9）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spacing w:val="60"/>
                <w:sz w:val="28"/>
                <w:szCs w:val="28"/>
              </w:rPr>
            </w:pPr>
          </w:p>
        </w:tc>
        <w:tc>
          <w:tcPr>
            <w:tcW w:w="1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3.应用效果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（10分）</w:t>
            </w:r>
          </w:p>
        </w:tc>
        <w:tc>
          <w:tcPr>
            <w:tcW w:w="5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在校内外学习者中共享范围广，应用模式多样，应用效果好，社会影响大。截至 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年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日，在全国性公开课程平台面向校内外广大学习者开放，在申报课程平台上完成一期及以上教学活动，且每一轮开课学习者规模应达到 1000 人以上。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A（10-9）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B（8-7）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C（6-5）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D（4-3）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2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60"/>
                <w:sz w:val="21"/>
                <w:szCs w:val="21"/>
              </w:rPr>
              <w:t>合计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</w:tbl>
    <w:p>
      <w:pPr>
        <w:widowControl/>
        <w:shd w:val="clear" w:color="auto" w:fill="FFFFFF"/>
        <w:spacing w:line="420" w:lineRule="exact"/>
        <w:jc w:val="left"/>
        <w:rPr>
          <w:rFonts w:ascii="宋体" w:hAnsi="宋体" w:eastAsia="宋体" w:cs="宋体"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34028"/>
    <w:rsid w:val="3423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2020-03-26T04:44:00Z</dcterms:created>
  <dc:creator>韦林利</dc:creator>
  <cp:lastModifiedBy>韦林利</cp:lastModifiedBy>
  <dcterms:modified xsi:type="dcterms:W3CDTF">2020-03-26T04:44:43Z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